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嘉黎经济和信息化局（商务局）</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2023</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月    </w:t>
      </w:r>
      <w:r>
        <w:rPr>
          <w:rFonts w:hint="eastAsia" w:ascii="仿宋" w:hAnsi="仿宋" w:eastAsia="仿宋"/>
          <w:sz w:val="32"/>
          <w:szCs w:val="32"/>
          <w:lang w:val="en-US" w:eastAsia="zh-CN"/>
        </w:rPr>
        <w:t>17</w:t>
      </w:r>
      <w:r>
        <w:rPr>
          <w:rFonts w:hint="eastAsia" w:ascii="仿宋" w:hAnsi="仿宋" w:eastAsia="仿宋"/>
          <w:sz w:val="32"/>
          <w:szCs w:val="32"/>
        </w:rPr>
        <w:t>日</w:t>
      </w:r>
    </w:p>
    <w:p>
      <w:pPr>
        <w:rPr>
          <w:rFonts w:ascii="仿宋" w:hAnsi="仿宋" w:eastAsia="仿宋"/>
          <w:sz w:val="32"/>
          <w:szCs w:val="32"/>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hint="eastAsia" w:ascii="黑体" w:hAnsi="黑体" w:eastAsia="黑体"/>
          <w:sz w:val="32"/>
          <w:szCs w:val="32"/>
        </w:rPr>
      </w:pPr>
      <w:r>
        <w:rPr>
          <w:rFonts w:hint="eastAsia" w:ascii="方正小标宋简体" w:hAnsi="仿宋" w:eastAsia="方正小标宋简体"/>
          <w:sz w:val="32"/>
          <w:szCs w:val="32"/>
        </w:rPr>
        <w:t xml:space="preserve">第一部分  </w:t>
      </w:r>
      <w:r>
        <w:rPr>
          <w:rFonts w:hint="eastAsia" w:ascii="黑体" w:hAnsi="黑体" w:eastAsia="黑体"/>
          <w:sz w:val="32"/>
          <w:szCs w:val="32"/>
          <w:lang w:eastAsia="zh-CN"/>
        </w:rPr>
        <w:t>嘉黎经济和信息化局（商务局）</w:t>
      </w:r>
      <w:r>
        <w:rPr>
          <w:rFonts w:hint="eastAsia" w:ascii="黑体" w:hAnsi="黑体" w:eastAsia="黑体"/>
          <w:sz w:val="32"/>
          <w:szCs w:val="32"/>
        </w:rPr>
        <w:t>概况</w:t>
      </w:r>
    </w:p>
    <w:p>
      <w:pPr>
        <w:rPr>
          <w:rFonts w:hint="eastAsia" w:ascii="黑体" w:hAnsi="黑体" w:eastAsia="黑体"/>
          <w:sz w:val="32"/>
          <w:szCs w:val="32"/>
        </w:rPr>
      </w:pPr>
      <w:r>
        <w:rPr>
          <w:rFonts w:hint="eastAsia" w:ascii="黑体" w:hAnsi="黑体" w:eastAsia="黑体"/>
          <w:sz w:val="32"/>
          <w:szCs w:val="32"/>
        </w:rPr>
        <w:t>一、主要职能</w:t>
      </w:r>
    </w:p>
    <w:p>
      <w:pPr>
        <w:rPr>
          <w:rFonts w:hint="eastAsia" w:ascii="黑体" w:hAnsi="黑体" w:eastAsia="黑体"/>
          <w:sz w:val="32"/>
          <w:szCs w:val="32"/>
        </w:rPr>
      </w:pPr>
      <w:r>
        <w:rPr>
          <w:rFonts w:hint="eastAsia" w:ascii="黑体" w:hAnsi="黑体" w:eastAsia="黑体"/>
          <w:sz w:val="32"/>
          <w:szCs w:val="32"/>
        </w:rPr>
        <w:t>二、部门预算单位构成</w:t>
      </w:r>
    </w:p>
    <w:p>
      <w:pPr>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嘉黎经济和信息化局（商务局）</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年度部门预算明细表</w:t>
      </w:r>
    </w:p>
    <w:p>
      <w:pPr>
        <w:rPr>
          <w:rFonts w:hint="eastAsia" w:ascii="黑体" w:hAnsi="黑体" w:eastAsia="黑体"/>
          <w:sz w:val="32"/>
          <w:szCs w:val="32"/>
        </w:rPr>
      </w:pPr>
      <w:r>
        <w:rPr>
          <w:rFonts w:hint="eastAsia" w:ascii="黑体" w:hAnsi="黑体" w:eastAsia="黑体"/>
          <w:sz w:val="32"/>
          <w:szCs w:val="32"/>
        </w:rPr>
        <w:t>一、部门收支总体情况表</w:t>
      </w:r>
    </w:p>
    <w:p>
      <w:pPr>
        <w:rPr>
          <w:rFonts w:hint="eastAsia" w:ascii="黑体" w:hAnsi="黑体" w:eastAsia="黑体"/>
          <w:sz w:val="32"/>
          <w:szCs w:val="32"/>
        </w:rPr>
      </w:pPr>
      <w:r>
        <w:rPr>
          <w:rFonts w:hint="eastAsia" w:ascii="黑体" w:hAnsi="黑体" w:eastAsia="黑体"/>
          <w:sz w:val="32"/>
          <w:szCs w:val="32"/>
        </w:rPr>
        <w:t>二、部门收入总体情况表</w:t>
      </w:r>
    </w:p>
    <w:p>
      <w:pPr>
        <w:rPr>
          <w:rFonts w:hint="eastAsia" w:ascii="黑体" w:hAnsi="黑体" w:eastAsia="黑体"/>
          <w:sz w:val="32"/>
          <w:szCs w:val="32"/>
        </w:rPr>
      </w:pPr>
      <w:r>
        <w:rPr>
          <w:rFonts w:hint="eastAsia" w:ascii="黑体" w:hAnsi="黑体" w:eastAsia="黑体"/>
          <w:sz w:val="32"/>
          <w:szCs w:val="32"/>
        </w:rPr>
        <w:t>三、部门支出总体情况表</w:t>
      </w:r>
    </w:p>
    <w:p>
      <w:pPr>
        <w:rPr>
          <w:rFonts w:hint="eastAsia" w:ascii="黑体" w:hAnsi="黑体" w:eastAsia="黑体"/>
          <w:sz w:val="32"/>
          <w:szCs w:val="32"/>
        </w:rPr>
      </w:pPr>
      <w:r>
        <w:rPr>
          <w:rFonts w:hint="eastAsia" w:ascii="黑体" w:hAnsi="黑体" w:eastAsia="黑体"/>
          <w:sz w:val="32"/>
          <w:szCs w:val="32"/>
        </w:rPr>
        <w:t>四、财政拨款收支总体情况表</w:t>
      </w:r>
    </w:p>
    <w:p>
      <w:pPr>
        <w:rPr>
          <w:rFonts w:hint="eastAsia" w:ascii="黑体" w:hAnsi="黑体" w:eastAsia="黑体"/>
          <w:sz w:val="32"/>
          <w:szCs w:val="32"/>
        </w:rPr>
      </w:pPr>
      <w:r>
        <w:rPr>
          <w:rFonts w:hint="eastAsia" w:ascii="黑体" w:hAnsi="黑体" w:eastAsia="黑体"/>
          <w:sz w:val="32"/>
          <w:szCs w:val="32"/>
        </w:rPr>
        <w:t>五、一般公共预算支出情况表（按功能分类科目）</w:t>
      </w:r>
    </w:p>
    <w:p>
      <w:pPr>
        <w:rPr>
          <w:rFonts w:hint="eastAsia"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hint="eastAsia" w:ascii="黑体" w:hAnsi="黑体" w:eastAsia="黑体"/>
          <w:sz w:val="32"/>
          <w:szCs w:val="32"/>
        </w:rPr>
      </w:pPr>
      <w:r>
        <w:rPr>
          <w:rFonts w:hint="eastAsia" w:ascii="黑体" w:hAnsi="黑体" w:eastAsia="黑体"/>
          <w:sz w:val="32"/>
          <w:szCs w:val="32"/>
        </w:rPr>
        <w:t>七、一般公共预算“三公”经费支出情况表</w:t>
      </w:r>
    </w:p>
    <w:p>
      <w:pPr>
        <w:rPr>
          <w:rFonts w:hint="eastAsia" w:ascii="黑体" w:hAnsi="黑体" w:eastAsia="黑体"/>
          <w:sz w:val="32"/>
          <w:szCs w:val="32"/>
        </w:rPr>
      </w:pPr>
      <w:r>
        <w:rPr>
          <w:rFonts w:hint="eastAsia" w:ascii="黑体" w:hAnsi="黑体" w:eastAsia="黑体"/>
          <w:sz w:val="32"/>
          <w:szCs w:val="32"/>
        </w:rPr>
        <w:t>八、政府性基金“三公”经费支出情况表</w:t>
      </w:r>
    </w:p>
    <w:p>
      <w:pPr>
        <w:rPr>
          <w:rFonts w:hint="eastAsia" w:ascii="黑体" w:hAnsi="黑体" w:eastAsia="黑体"/>
          <w:sz w:val="32"/>
          <w:szCs w:val="32"/>
        </w:rPr>
      </w:pPr>
      <w:r>
        <w:rPr>
          <w:rFonts w:hint="eastAsia" w:ascii="黑体" w:hAnsi="黑体" w:eastAsia="黑体"/>
          <w:sz w:val="32"/>
          <w:szCs w:val="32"/>
        </w:rPr>
        <w:t>九、政府性基金预算支出情况表</w:t>
      </w:r>
    </w:p>
    <w:p>
      <w:pPr>
        <w:rPr>
          <w:rFonts w:hint="eastAsia" w:ascii="黑体" w:hAnsi="黑体" w:eastAsia="黑体"/>
          <w:sz w:val="32"/>
          <w:szCs w:val="32"/>
        </w:rPr>
      </w:pPr>
      <w:r>
        <w:rPr>
          <w:rFonts w:hint="eastAsia" w:ascii="黑体" w:hAnsi="黑体" w:eastAsia="黑体"/>
          <w:sz w:val="32"/>
          <w:szCs w:val="32"/>
        </w:rPr>
        <w:t>十、政府购买服务预算表</w:t>
      </w:r>
    </w:p>
    <w:p>
      <w:pPr>
        <w:rPr>
          <w:rFonts w:hint="eastAsia" w:ascii="黑体" w:hAnsi="黑体" w:eastAsia="黑体"/>
          <w:sz w:val="32"/>
          <w:szCs w:val="32"/>
        </w:rPr>
      </w:pPr>
      <w:r>
        <w:rPr>
          <w:rFonts w:hint="eastAsia" w:ascii="黑体" w:hAnsi="黑体" w:eastAsia="黑体"/>
          <w:sz w:val="32"/>
          <w:szCs w:val="32"/>
        </w:rPr>
        <w:t>十一、项目支出绩效表</w:t>
      </w:r>
    </w:p>
    <w:p>
      <w:pPr>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嘉黎经济和信息化局（商务局）</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lang w:eastAsia="zh-CN"/>
        </w:rPr>
        <w:t>嘉黎经济和信息化局（商务局）</w:t>
      </w:r>
      <w:r>
        <w:rPr>
          <w:rFonts w:hint="eastAsia" w:ascii="仿宋" w:hAnsi="仿宋" w:eastAsia="仿宋" w:cs="仿宋"/>
          <w:b/>
          <w:bCs/>
          <w:sz w:val="32"/>
          <w:szCs w:val="32"/>
        </w:rPr>
        <w:t>概况</w:t>
      </w:r>
    </w:p>
    <w:p>
      <w:pPr>
        <w:rPr>
          <w:rFonts w:hint="eastAsia" w:ascii="仿宋" w:hAnsi="仿宋" w:eastAsia="仿宋" w:cs="仿宋"/>
          <w:sz w:val="32"/>
          <w:szCs w:val="32"/>
        </w:rPr>
      </w:pPr>
      <w:r>
        <w:rPr>
          <w:rFonts w:hint="eastAsia" w:ascii="仿宋" w:hAnsi="仿宋" w:eastAsia="仿宋" w:cs="仿宋"/>
          <w:sz w:val="32"/>
          <w:szCs w:val="32"/>
        </w:rPr>
        <w:t>一、主要职能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主要职能</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要职责、内设机构和人员编制规定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第一条根据党中央、自治区党委和市委关于深化地方党政机构改革的工作要求，按照《关于那曲市机构改革的实施意见》和《嘉黎县机构改革方案》，制定本规定。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第二条嘉黎县经济和信息化局是县政府工作部门,为正科级。加挂县商务局牌子。</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第三条县经济和信息化局贯彻落实党中央关于经济和信息化工作的方针政策和自治区党委、市委、县委的决策部署，在履行职责过程中坚持和加强县委对经济和信息化工作的统一领导。主要职责是:(一)执行国家工业经济、数字经济和信息化建设的方针政策，贯彻落实有关法律法规，研究起草相关地方性法规和政府规章草案。拟订全县工业经济、数字经济和信息化建设规划和政策、措施并组织实施，拟订行业技术规范和标准并组织实施。(二)提出优化全县工业经济、数字经济和信息化建设布局、结构调整、对外开放和利用外资的政策建议，推动相关领域供给侧结构性改革和承接产业转移工作，承担全县工业和信息化交流合作和招商引资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三)负责提出全县工业经济、数字经济和信息化领域固定资产投资规模和方向、国家和自治区、市用于全县工业经济、数字经济和信息化领域财政性建设资金安排的意见。按规定权限审批、核准、审核全县工业经济、数字经济和信息化领域固定资产投资项目和企业技术改造项目并监督实施。</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(四)负责全县工业经济、数字经济和信息化建设的运行、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调度工作。监测、分析工业经济、数字经济和信息化建设的运行态势和质量，进行预测预警、统计并发布相关信息，加强信息引导。协调解决行业运行发展中的重大问题。会同县发展和改革委员会负责涉及工业和信息化领域煤、电、油、气、运、数据等生产要素的调度保障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(五)负责统筹推进全县数字经济和大数据应用发展，指导</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协调信息产业发展中的重大问题。负责政府和社会公共数据资源管理服务。负责工业化和信息化融合发展，指导协调推进网络信息技术与实体经济深度融合，推动各行业数字化转型发展，促进信息消费。</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(六)负责统筹推进全县信息化建设工作。负责全县重大信</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息化工程的规划、布局，负责组织推进全县电子政务建设，统筹推动跨行业、跨部门的互联互通和重要信息资源的开发利用、共享。负责预算内政府信息化项目技术论证和符合性审查。统筹通信业需求侧研究和管理，联系在藏基础电信企业工作，指导协调县级信息化企业发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七)推动全县工业经济、数字经济和信息化行业体制改革和管理创新。指导工业和信息化行业技术创新和技术进步，改造提升传统产业，组织实施国家、自治区、市和县相关领域科技重大专项，推进相关科研成果产业化。指导行业质量管理和推进品牌战略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八)负责全县工业经济、数字经济和信息化领域的节能降耗、清洁生产和资源综合利用工作，参与制定能源节约和资源综合利用、清洁生产促进规划和污染控制政策。承担工业和信息化领域产业固定资产投资项目的节能评审工作，提出评审意见。协调解决工业化与生态环境协调发展中的重大问题，组织实施相关重大示范项目和新产品、新技术、新工艺、新设备、新材料的推广应用。承担工业领域国防动员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九)负责全县原材料、消费品、装备、电子信息等工业和信息化行业规划管理工作。承担矿业、化工(不含炼油、煤制燃料和燃料乙醇)、建材业等重工业的行业管理。承担食品业、药业、天然饮用水产业、民族手工业等行业管理。组织协调装备制造业发展，指导先进技术装备的消化吸收创新。负责盐业行业管理、国防科技工业行业管理、国防信息动员工作。负责民用爆炸物品行业管理工作。协助做好工艺美术大师评选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(十)负责全县中小企业发展的宏观指导、综合协调和监督</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检查。拟订促进中小企业发展的规划和政策、措施。引导中小企业转变发展方式、推动结构调整。提出国家、自治区、市和县级扶持中小企业发展专项资金的安排意见。拟订促进中小企业创业创新政策、措施并组织实施。参与制定促进中小企业融资和担保的政策、措施，推动中小企业信用担保体系建设。指导中小企业服务体系建设和中小企业对外交流合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(十一)负责全县产业园区的建设管理工作。拟订产业园区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发展规划和政策、措施并组织实施。推进产业园区公共配套设施建设，组织实施产业园区公共服务平台项目计划，指导产业园区管委会提升园区管理水平。</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(十二)组织研究全县通信网络及相关信息安全问题并提出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政策措施。协调管理电信网、互联网网络信息安全平台。负责网络安全应急管理和处置，负责特殊通信管理，拟订通信管制和网络管制政策措施。管理党政专用通信工作。联系通信和无线电的管理工作。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(十三)贯彻落实国家国内外贸易、国际经济合作的发展战</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略、政策，贯彻执行国家国内外贸易、外商投资、对外援助、对外投资和对外经济合作的法律法规。起草商务领域相关地方性法规和政府规章草案。拟订全县商务发展规划、政策措施和年度计划并组织实施。研究经济全球化、区域经济合作、现代流通方式、开放型经济新体制和流通体制改革的发展趋势并提出对策建议。</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四)拟订全县国内贸易发展规划，促进城乡市场发展，研究提出引导国内外资金投向市场体系建设的政策，指导大宗产品批发市场规划建设和城市商业网点、商品交易市场(现货交易类)规划，以及商业体系建设工作。推进农村市场体系建设，组织实施农村现代流通网络工程。</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五)负责推进全县流通产业结构调整，指导流通企业改革、商贸服务业和社区商业发展，提出促进商贸中小企业发展的政策建议，推动物流配送、电子商务、流通标准化和连锁经营、商业特许经营等现代流通方式的发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六)牵头推进商务领域信用体系建设、指导商业信用销售，建立商务诚信公共服务平台。规范商贸企业交易行为，牵头推动重要产品追溯体系建设。按有关规定对拍卖等特殊流通行业进行监督管理。拟订规范市场运行、流通秩序的政策，负责推进商贸领域行政执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七)组织实施重要消费品市场调控和重要生产资料流通管理。负责建立健全生活必需品市场供应应急管理机制，监测分析市场运行、商品供求状况，调查分析商品价格信息，进行预测预警和信息引导。统筹商务领域消费促进工作。按分工负责重要消费品(食糖除外)储备管理和市场调控工作。按有关规定对成品油流通进行监督管理。拟订酒类、药品流通发展规划和政策，对酒类、药品流通发展进行指导。</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(十八)研究提出推进全县电子商务发展的政策意见，会同有关部门拟订全县电子商务发展规划并组织实施。推进全县商务系统信息化建设。</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九)执行国家制定的进出口商品、加工贸易管理办法和进出口管理商品、技术目录。指导贸易促进活动和外贸促进体系建设。贯彻执行国家促进外贸增长方式转变的政策措施。推进出口品牌和出口基地建设。组织实施国家拟定的重要工业品、原材料和重要农产品进出口总量计划。会同有关部门协调大宗进出口商品。负责对外贸易经营者备案登记管理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(二十)贯彻执行国家对外技术贸易、进出口管制以及鼓励技术和成套设备进出口的贸易政策，推动进出口贸易标准化与便利化工作。依法监督技术引进、设备进口、国家限制出口技术的工作。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(二十一)会同有关部门贯彻执行国家促进服务出口和服务外包发展的规划、政策，牵头拟订全县服务贸易发展规划并组织实施，推动服务外包平台建设。</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二)配合商务部调查国(境)外对我国出口商品实施的歧视性贸易政策、法律法规及做法。组织协调产业安全应对工作及国外对嘉黎出口商品的反倾销、反补贴和保障措施以及其他与进出口公平贸易相关的工作。指导、协调出口产品贸易摩擦应对和进口商品贸易救济申诉工作。跟踪调查反倾销、反补贴和保障措施等贸易救济措施对全区相关产业的影响。建立进出口公平贸易预警机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三)贯彻执行国家利用外资法律法规规章和外商投资产业政策。拟订外商投资政策并组织实施，依法对全县外商投资审批、备案工作进行指导和管理，规范对外招商引资活动。协调、指导自由贸易区、综合保税区、经济技术开发区、边(跨)境经济合作区、境外贸易合作区有关工作。指导和管理全县外商投资企业进出口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(二十四)负责国内贸易领域的招商引资工作，配合有关部门做好优化营商环境工作。负责全县会展业促进与管理工作，指导、管理全县境内外对外经济技术展览会和赴境外非商业性办展活动。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五)负责全县对外投资和经济合作工作，执行国家有关对外投资和经济合作政策。依法管理和监督对外投资、对外承包工程、对外劳务合作(含公民出境就业)等，指导外派劳务和境外就业人员的权益保护工作，拟订全县对外投资管理办法和具体政策，依法备案或核准市内企业对外投资开办企业(金融企业除外)。</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(二十六)管理全县接受政府间多双边国际无偿援助和赠款等发展合作业务。</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(二十七)负责本行业领域安全生产监督管理和应急处置工作。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八)完成县委、县政府交办的其他任务。(二十九)职能转变。县经济和信息化局应围绕贯彻实施制造强国战略、网络强国战略和创新驱动发展战略，以转方式、调结构、促升级、防风险、补短板、增后劲为着力点，不断加强、优化工业经济、数字经济和信息化建设管理服务职能。一是更加注重从工业和信息化单一层面,进一步扩展延伸工业经济、数字经济和信息化建设等层面，通过管规划、管政策、管标准，强化更为宏观的管理和服务。二是更加注重围绕国家和自治区工业经济、数字经济和信息化建设的任务安排，推动服务和管理下沉,更好发挥经济和信息化建设。推动和服务实体经济的功能。三是更加注重按照简政放权要求，下放管理和服务职能，减少微观管理和具体审批事项，逐步减少并依法规范事前审批，加强事中事后监管，不断优化发展环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县经济和信息化局应按照党中央、国务院和自治区党委、自治区人民政府关于转变政府职能、深化“放管服”改革，深入推进审批服务便民化的决策部署，组织推进本行业系统转变政府职能，深化简政放权、创新监管方式，优化政务服务工作。推进流通领域供给侧结构性改革，大力发展流通新业态、新模式、新技术，完善流通供给体系，提高城乡尤其是农牧区流通供给质量，提升流通供给效率。推动对外贸易高质量发展，优化贸易方式</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二、部门预算单位构成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部门内设</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w:t>
      </w:r>
      <w:r>
        <w:rPr>
          <w:rFonts w:hint="eastAsia" w:ascii="仿宋" w:hAnsi="仿宋" w:eastAsia="仿宋" w:cs="仿宋"/>
          <w:sz w:val="32"/>
          <w:szCs w:val="32"/>
          <w:u w:val="single"/>
        </w:rPr>
        <w:t xml:space="preserve">  </w:t>
      </w:r>
      <w:r>
        <w:rPr>
          <w:rFonts w:hint="eastAsia" w:ascii="仿宋" w:hAnsi="仿宋" w:eastAsia="仿宋" w:cs="仿宋"/>
          <w:sz w:val="32"/>
          <w:szCs w:val="32"/>
        </w:rPr>
        <w:t>个机构、</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3</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家单位合并综合机构</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包括：</w:t>
      </w:r>
      <w:r>
        <w:rPr>
          <w:rFonts w:hint="eastAsia" w:ascii="仿宋" w:hAnsi="仿宋" w:eastAsia="仿宋" w:cs="仿宋"/>
          <w:sz w:val="32"/>
          <w:szCs w:val="32"/>
          <w:lang w:eastAsia="zh-CN"/>
        </w:rPr>
        <w:t>经信局、商务局、招商办。</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第二部分</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lang w:eastAsia="zh-CN"/>
        </w:rPr>
        <w:t>嘉黎经济和信息化局（商务局）</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年度预算明细表</w:t>
      </w:r>
    </w:p>
    <w:p>
      <w:pPr>
        <w:jc w:val="center"/>
        <w:rPr>
          <w:rFonts w:hint="eastAsia" w:ascii="仿宋" w:hAnsi="仿宋" w:eastAsia="仿宋" w:cs="仿宋"/>
          <w:sz w:val="32"/>
          <w:szCs w:val="32"/>
        </w:rPr>
      </w:pPr>
      <w:r>
        <w:rPr>
          <w:rFonts w:hint="eastAsia" w:ascii="仿宋" w:hAnsi="仿宋" w:eastAsia="仿宋" w:cs="仿宋"/>
          <w:sz w:val="32"/>
          <w:szCs w:val="32"/>
        </w:rPr>
        <w:t>（表格详见附件）</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第三部分</w:t>
      </w:r>
    </w:p>
    <w:p>
      <w:pPr>
        <w:jc w:val="center"/>
        <w:rPr>
          <w:rFonts w:hint="eastAsia" w:ascii="仿宋" w:hAnsi="仿宋" w:eastAsia="仿宋" w:cs="仿宋"/>
          <w:b/>
          <w:bCs/>
          <w:sz w:val="32"/>
          <w:szCs w:val="32"/>
        </w:rPr>
      </w:pPr>
      <w:r>
        <w:rPr>
          <w:rFonts w:hint="eastAsia" w:ascii="仿宋" w:hAnsi="仿宋" w:eastAsia="仿宋" w:cs="仿宋"/>
          <w:b/>
          <w:bCs/>
          <w:sz w:val="32"/>
          <w:szCs w:val="32"/>
          <w:lang w:eastAsia="zh-CN"/>
        </w:rPr>
        <w:t>嘉黎经济和信息化局（商务局）</w:t>
      </w: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年度部门预算数据分析</w:t>
      </w:r>
    </w:p>
    <w:p>
      <w:pPr>
        <w:rPr>
          <w:rFonts w:hint="eastAsia" w:ascii="仿宋" w:hAnsi="仿宋" w:eastAsia="仿宋" w:cs="仿宋"/>
          <w:sz w:val="32"/>
          <w:szCs w:val="32"/>
        </w:rPr>
      </w:pPr>
      <w:r>
        <w:rPr>
          <w:rFonts w:hint="eastAsia" w:ascii="仿宋" w:hAnsi="仿宋" w:eastAsia="仿宋" w:cs="仿宋"/>
          <w:sz w:val="32"/>
          <w:szCs w:val="32"/>
        </w:rPr>
        <w:t>一、202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年部门收支总表的说明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277.48</w:t>
      </w:r>
      <w:r>
        <w:rPr>
          <w:rFonts w:hint="eastAsia" w:ascii="仿宋" w:hAnsi="仿宋" w:eastAsia="仿宋" w:cs="仿宋"/>
          <w:sz w:val="32"/>
          <w:szCs w:val="32"/>
        </w:rPr>
        <w:t>万元。收入包括：一般公共预算拨款收入</w:t>
      </w:r>
      <w:r>
        <w:rPr>
          <w:rFonts w:hint="eastAsia" w:ascii="仿宋" w:hAnsi="仿宋" w:eastAsia="仿宋" w:cs="仿宋"/>
          <w:sz w:val="32"/>
          <w:szCs w:val="32"/>
          <w:lang w:val="en-US" w:eastAsia="zh-CN"/>
        </w:rPr>
        <w:t>257.48万元、上年结转20万.支出277.48万元，</w:t>
      </w:r>
      <w:r>
        <w:rPr>
          <w:rFonts w:hint="eastAsia" w:ascii="仿宋" w:hAnsi="仿宋" w:eastAsia="仿宋" w:cs="仿宋"/>
          <w:sz w:val="32"/>
          <w:szCs w:val="32"/>
        </w:rPr>
        <w:t>支出包括：一般公共服务支出</w:t>
      </w:r>
      <w:r>
        <w:rPr>
          <w:rFonts w:hint="eastAsia" w:ascii="仿宋" w:hAnsi="仿宋" w:eastAsia="仿宋" w:cs="仿宋"/>
          <w:sz w:val="32"/>
          <w:szCs w:val="32"/>
          <w:lang w:val="en-US" w:eastAsia="zh-CN"/>
        </w:rPr>
        <w:t>214.39万</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27.44万</w:t>
      </w:r>
      <w:r>
        <w:rPr>
          <w:rFonts w:hint="eastAsia" w:ascii="仿宋" w:hAnsi="仿宋" w:eastAsia="仿宋" w:cs="仿宋"/>
          <w:sz w:val="32"/>
          <w:szCs w:val="32"/>
        </w:rPr>
        <w:t>、</w:t>
      </w:r>
      <w:r>
        <w:rPr>
          <w:rFonts w:hint="eastAsia" w:ascii="仿宋" w:hAnsi="仿宋" w:eastAsia="仿宋" w:cs="仿宋"/>
          <w:sz w:val="32"/>
          <w:szCs w:val="32"/>
          <w:lang w:eastAsia="zh-CN"/>
        </w:rPr>
        <w:t>社会保险基金支出</w:t>
      </w:r>
      <w:r>
        <w:rPr>
          <w:rFonts w:hint="eastAsia" w:ascii="仿宋" w:hAnsi="仿宋" w:eastAsia="仿宋" w:cs="仿宋"/>
          <w:sz w:val="32"/>
          <w:szCs w:val="32"/>
          <w:lang w:val="en-US" w:eastAsia="zh-CN"/>
        </w:rPr>
        <w:t>0万元、</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17.83</w:t>
      </w:r>
      <w:r>
        <w:rPr>
          <w:rFonts w:hint="eastAsia" w:ascii="仿宋" w:hAnsi="仿宋" w:eastAsia="仿宋" w:cs="仿宋"/>
          <w:sz w:val="32"/>
          <w:szCs w:val="32"/>
        </w:rPr>
        <w:t>、住房保障支</w:t>
      </w:r>
      <w:r>
        <w:rPr>
          <w:rFonts w:hint="eastAsia" w:ascii="仿宋" w:hAnsi="仿宋" w:eastAsia="仿宋" w:cs="仿宋"/>
          <w:sz w:val="32"/>
          <w:szCs w:val="32"/>
          <w:lang w:val="en-US" w:eastAsia="zh-CN"/>
        </w:rPr>
        <w:t>17.82</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二、202</w:t>
      </w:r>
      <w:r>
        <w:rPr>
          <w:rFonts w:hint="eastAsia" w:ascii="仿宋" w:hAnsi="仿宋" w:eastAsia="仿宋" w:cs="仿宋"/>
          <w:sz w:val="32"/>
          <w:szCs w:val="32"/>
          <w:lang w:val="en-US" w:eastAsia="zh-CN"/>
        </w:rPr>
        <w:t>3</w:t>
      </w:r>
      <w:r>
        <w:rPr>
          <w:rFonts w:hint="eastAsia" w:ascii="仿宋" w:hAnsi="仿宋" w:eastAsia="仿宋" w:cs="仿宋"/>
          <w:sz w:val="32"/>
          <w:szCs w:val="32"/>
        </w:rPr>
        <w:t>年度部门收入总表的说明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收入预算</w:t>
      </w:r>
      <w:r>
        <w:rPr>
          <w:rFonts w:hint="eastAsia" w:ascii="仿宋" w:hAnsi="仿宋" w:eastAsia="仿宋" w:cs="仿宋"/>
          <w:sz w:val="32"/>
          <w:szCs w:val="32"/>
          <w:lang w:val="en-US" w:eastAsia="zh-CN"/>
        </w:rPr>
        <w:t>277.48</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20</w:t>
      </w:r>
      <w:r>
        <w:rPr>
          <w:rFonts w:hint="eastAsia" w:ascii="仿宋" w:hAnsi="仿宋" w:eastAsia="仿宋" w:cs="仿宋"/>
          <w:sz w:val="32"/>
          <w:szCs w:val="32"/>
        </w:rPr>
        <w:t>万元， 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7.21</w:t>
      </w:r>
      <w:r>
        <w:rPr>
          <w:rFonts w:hint="eastAsia" w:ascii="仿宋" w:hAnsi="仿宋" w:eastAsia="仿宋" w:cs="仿宋"/>
          <w:sz w:val="32"/>
          <w:szCs w:val="32"/>
        </w:rPr>
        <w:t>%；一般公共预算拨款收入</w:t>
      </w:r>
      <w:r>
        <w:rPr>
          <w:rFonts w:hint="eastAsia" w:ascii="仿宋" w:hAnsi="仿宋" w:eastAsia="仿宋" w:cs="仿宋"/>
          <w:sz w:val="32"/>
          <w:szCs w:val="32"/>
          <w:u w:val="single"/>
          <w:lang w:val="en-US" w:eastAsia="zh-CN"/>
        </w:rPr>
        <w:t>257.48</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92.79</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三、202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年部门支出总表的说明</w:t>
      </w:r>
    </w:p>
    <w:p>
      <w:pPr>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年支出预算</w:t>
      </w:r>
      <w:r>
        <w:rPr>
          <w:rFonts w:hint="eastAsia" w:ascii="仿宋" w:hAnsi="仿宋" w:eastAsia="仿宋" w:cs="仿宋"/>
          <w:sz w:val="32"/>
          <w:szCs w:val="32"/>
          <w:u w:val="single"/>
          <w:lang w:val="en-US" w:eastAsia="zh-CN"/>
        </w:rPr>
        <w:t>277.48</w:t>
      </w:r>
      <w:r>
        <w:rPr>
          <w:rFonts w:hint="eastAsia" w:ascii="仿宋" w:hAnsi="仿宋" w:eastAsia="仿宋" w:cs="仿宋"/>
          <w:sz w:val="32"/>
          <w:szCs w:val="32"/>
        </w:rPr>
        <w:t>万元，其中：基本支出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257.48</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lang w:val="en-US" w:eastAsia="zh-CN"/>
        </w:rPr>
        <w:t>92.79</w:t>
      </w:r>
      <w:r>
        <w:rPr>
          <w:rFonts w:hint="eastAsia" w:ascii="仿宋" w:hAnsi="仿宋" w:eastAsia="仿宋" w:cs="仿宋"/>
          <w:sz w:val="32"/>
          <w:szCs w:val="32"/>
        </w:rPr>
        <w:t>%；项目支出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20</w:t>
      </w:r>
      <w:r>
        <w:rPr>
          <w:rFonts w:hint="eastAsia" w:ascii="仿宋" w:hAnsi="仿宋" w:eastAsia="仿宋" w:cs="仿宋"/>
          <w:sz w:val="32"/>
          <w:szCs w:val="32"/>
        </w:rPr>
        <w:t>万元，占</w:t>
      </w:r>
      <w:r>
        <w:rPr>
          <w:rFonts w:hint="eastAsia" w:ascii="仿宋" w:hAnsi="仿宋" w:eastAsia="仿宋" w:cs="仿宋"/>
          <w:sz w:val="32"/>
          <w:szCs w:val="32"/>
          <w:u w:val="single"/>
          <w:lang w:val="en-US" w:eastAsia="zh-CN"/>
        </w:rPr>
        <w:t>7.21</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四、202</w:t>
      </w:r>
      <w:r>
        <w:rPr>
          <w:rFonts w:hint="eastAsia" w:ascii="仿宋" w:hAnsi="仿宋" w:eastAsia="仿宋" w:cs="仿宋"/>
          <w:sz w:val="32"/>
          <w:szCs w:val="32"/>
          <w:lang w:val="en-US" w:eastAsia="zh-CN"/>
        </w:rPr>
        <w:t>3</w:t>
      </w:r>
      <w:r>
        <w:rPr>
          <w:rFonts w:hint="eastAsia" w:ascii="仿宋" w:hAnsi="仿宋" w:eastAsia="仿宋" w:cs="仿宋"/>
          <w:sz w:val="32"/>
          <w:szCs w:val="32"/>
        </w:rPr>
        <w:t>年财政拨款收支总表的说明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年财政拨款收支总预算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277.48</w:t>
      </w:r>
      <w:r>
        <w:rPr>
          <w:rFonts w:hint="eastAsia" w:ascii="仿宋" w:hAnsi="仿宋" w:eastAsia="仿宋" w:cs="仿宋"/>
          <w:sz w:val="32"/>
          <w:szCs w:val="32"/>
        </w:rPr>
        <w:t>万元。收入为一般公共预算拨款</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277.48万元</w:t>
      </w:r>
      <w:r>
        <w:rPr>
          <w:rFonts w:hint="eastAsia" w:ascii="仿宋" w:hAnsi="仿宋" w:eastAsia="仿宋" w:cs="仿宋"/>
          <w:sz w:val="32"/>
          <w:szCs w:val="32"/>
        </w:rPr>
        <w:t>，包括：一般公共预算当年拨款收入</w:t>
      </w:r>
      <w:r>
        <w:rPr>
          <w:rFonts w:hint="eastAsia" w:ascii="仿宋" w:hAnsi="仿宋" w:eastAsia="仿宋" w:cs="仿宋"/>
          <w:sz w:val="32"/>
          <w:szCs w:val="32"/>
          <w:u w:val="single"/>
          <w:lang w:val="en-US" w:eastAsia="zh-CN"/>
        </w:rPr>
        <w:t>257.48</w:t>
      </w:r>
      <w:r>
        <w:rPr>
          <w:rFonts w:hint="eastAsia" w:ascii="仿宋" w:hAnsi="仿宋" w:eastAsia="仿宋" w:cs="仿宋"/>
          <w:sz w:val="32"/>
          <w:szCs w:val="32"/>
        </w:rPr>
        <w:t>万元、上年结转</w:t>
      </w:r>
      <w:r>
        <w:rPr>
          <w:rFonts w:hint="eastAsia" w:ascii="仿宋" w:hAnsi="仿宋" w:eastAsia="仿宋" w:cs="仿宋"/>
          <w:sz w:val="32"/>
          <w:szCs w:val="32"/>
          <w:u w:val="single"/>
          <w:lang w:val="en-US" w:eastAsia="zh-CN"/>
        </w:rPr>
        <w:t>20</w:t>
      </w:r>
      <w:r>
        <w:rPr>
          <w:rFonts w:hint="eastAsia" w:ascii="仿宋" w:hAnsi="仿宋" w:eastAsia="仿宋" w:cs="仿宋"/>
          <w:sz w:val="32"/>
          <w:szCs w:val="32"/>
        </w:rPr>
        <w:t>万；支出包括：一般公共服务支出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214.39</w:t>
      </w:r>
      <w:r>
        <w:rPr>
          <w:rFonts w:hint="eastAsia" w:ascii="仿宋" w:hAnsi="仿宋" w:eastAsia="仿宋" w:cs="仿宋"/>
          <w:sz w:val="32"/>
          <w:szCs w:val="32"/>
          <w:u w:val="single"/>
        </w:rPr>
        <w:t xml:space="preserve">  </w:t>
      </w:r>
      <w:r>
        <w:rPr>
          <w:rFonts w:hint="eastAsia" w:ascii="仿宋" w:hAnsi="仿宋" w:eastAsia="仿宋" w:cs="仿宋"/>
          <w:sz w:val="32"/>
          <w:szCs w:val="32"/>
        </w:rPr>
        <w:t>万元、社会保障和就业支出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27.44</w:t>
      </w:r>
      <w:r>
        <w:rPr>
          <w:rFonts w:hint="eastAsia" w:ascii="仿宋" w:hAnsi="仿宋" w:eastAsia="仿宋" w:cs="仿宋"/>
          <w:sz w:val="32"/>
          <w:szCs w:val="32"/>
          <w:u w:val="single"/>
        </w:rPr>
        <w:t xml:space="preserve">  </w:t>
      </w:r>
      <w:r>
        <w:rPr>
          <w:rFonts w:hint="eastAsia" w:ascii="仿宋" w:hAnsi="仿宋" w:eastAsia="仿宋" w:cs="仿宋"/>
          <w:sz w:val="32"/>
          <w:szCs w:val="32"/>
        </w:rPr>
        <w:t>万元、卫生健康支出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17.83</w:t>
      </w:r>
      <w:r>
        <w:rPr>
          <w:rFonts w:hint="eastAsia" w:ascii="仿宋" w:hAnsi="仿宋" w:eastAsia="仿宋" w:cs="仿宋"/>
          <w:sz w:val="32"/>
          <w:szCs w:val="32"/>
          <w:u w:val="single"/>
        </w:rPr>
        <w:t xml:space="preserve"> </w:t>
      </w:r>
      <w:r>
        <w:rPr>
          <w:rFonts w:hint="eastAsia" w:ascii="仿宋" w:hAnsi="仿宋" w:eastAsia="仿宋" w:cs="仿宋"/>
          <w:sz w:val="32"/>
          <w:szCs w:val="32"/>
        </w:rPr>
        <w:t>万元、住房保障支出</w:t>
      </w:r>
      <w:r>
        <w:rPr>
          <w:rFonts w:hint="eastAsia" w:ascii="仿宋" w:hAnsi="仿宋" w:eastAsia="仿宋" w:cs="仿宋"/>
          <w:sz w:val="32"/>
          <w:szCs w:val="32"/>
          <w:u w:val="single"/>
          <w:lang w:val="en-US" w:eastAsia="zh-CN"/>
        </w:rPr>
        <w:t>17.82</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p>
    <w:p>
      <w:pPr>
        <w:rPr>
          <w:rFonts w:hint="eastAsia" w:ascii="仿宋" w:hAnsi="仿宋" w:eastAsia="仿宋" w:cs="仿宋"/>
          <w:sz w:val="32"/>
          <w:szCs w:val="32"/>
        </w:rPr>
      </w:pPr>
      <w:r>
        <w:rPr>
          <w:rFonts w:hint="eastAsia" w:ascii="仿宋" w:hAnsi="仿宋" w:eastAsia="仿宋" w:cs="仿宋"/>
          <w:sz w:val="32"/>
          <w:szCs w:val="32"/>
        </w:rPr>
        <w:t>五、202</w:t>
      </w:r>
      <w:r>
        <w:rPr>
          <w:rFonts w:hint="eastAsia" w:ascii="仿宋" w:hAnsi="仿宋" w:eastAsia="仿宋" w:cs="仿宋"/>
          <w:sz w:val="32"/>
          <w:szCs w:val="32"/>
          <w:lang w:val="en-US" w:eastAsia="zh-CN"/>
        </w:rPr>
        <w:t>3</w:t>
      </w:r>
      <w:r>
        <w:rPr>
          <w:rFonts w:hint="eastAsia" w:ascii="仿宋" w:hAnsi="仿宋" w:eastAsia="仿宋" w:cs="仿宋"/>
          <w:sz w:val="32"/>
          <w:szCs w:val="32"/>
        </w:rPr>
        <w:t>年一般公共预算支出表的说明</w:t>
      </w:r>
    </w:p>
    <w:p>
      <w:pPr>
        <w:rPr>
          <w:rFonts w:hint="eastAsia" w:ascii="仿宋" w:hAnsi="仿宋" w:eastAsia="仿宋" w:cs="仿宋"/>
          <w:sz w:val="32"/>
          <w:szCs w:val="32"/>
        </w:rPr>
      </w:pPr>
      <w:r>
        <w:rPr>
          <w:rFonts w:hint="eastAsia" w:ascii="仿宋" w:hAnsi="仿宋" w:eastAsia="仿宋" w:cs="仿宋"/>
          <w:sz w:val="32"/>
          <w:szCs w:val="32"/>
        </w:rPr>
        <w:t>（一）一般公共预算当年拨款规模变化情况。</w:t>
      </w:r>
    </w:p>
    <w:p>
      <w:pPr>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年一般公共预算当年拨款</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277.48</w:t>
      </w:r>
      <w:r>
        <w:rPr>
          <w:rFonts w:hint="eastAsia" w:ascii="仿宋" w:hAnsi="仿宋" w:eastAsia="仿宋" w:cs="仿宋"/>
          <w:sz w:val="32"/>
          <w:szCs w:val="32"/>
        </w:rPr>
        <w:t>万元,比202</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 年执行数</w:t>
      </w:r>
      <w:r>
        <w:rPr>
          <w:rFonts w:hint="eastAsia" w:ascii="仿宋" w:hAnsi="仿宋" w:eastAsia="仿宋" w:cs="仿宋"/>
          <w:sz w:val="32"/>
          <w:szCs w:val="32"/>
          <w:lang w:eastAsia="zh-CN"/>
        </w:rPr>
        <w:t>增加</w:t>
      </w:r>
      <w:r>
        <w:rPr>
          <w:rFonts w:hint="eastAsia" w:ascii="仿宋" w:hAnsi="仿宋" w:eastAsia="仿宋" w:cs="仿宋"/>
          <w:sz w:val="32"/>
          <w:szCs w:val="32"/>
          <w:u w:val="single"/>
          <w:lang w:val="en-US" w:eastAsia="zh-CN"/>
        </w:rPr>
        <w:t>58.55</w:t>
      </w:r>
      <w:r>
        <w:rPr>
          <w:rFonts w:hint="eastAsia" w:ascii="仿宋" w:hAnsi="仿宋" w:eastAsia="仿宋" w:cs="仿宋"/>
          <w:sz w:val="32"/>
          <w:szCs w:val="32"/>
        </w:rPr>
        <w:t>万元</w:t>
      </w:r>
      <w:r>
        <w:rPr>
          <w:rFonts w:hint="eastAsia" w:ascii="仿宋" w:hAnsi="仿宋" w:eastAsia="仿宋" w:cs="仿宋"/>
          <w:sz w:val="32"/>
          <w:szCs w:val="32"/>
          <w:highlight w:val="none"/>
        </w:rPr>
        <w:t>，主要原因：</w:t>
      </w:r>
      <w:r>
        <w:rPr>
          <w:rFonts w:hint="eastAsia" w:ascii="仿宋" w:hAnsi="仿宋" w:eastAsia="仿宋" w:cs="仿宋"/>
          <w:sz w:val="32"/>
          <w:szCs w:val="32"/>
          <w:highlight w:val="none"/>
          <w:lang w:eastAsia="zh-CN"/>
        </w:rPr>
        <w:t>人员预算增加。</w:t>
      </w:r>
    </w:p>
    <w:p>
      <w:pPr>
        <w:rPr>
          <w:rFonts w:hint="eastAsia" w:ascii="仿宋" w:hAnsi="仿宋" w:eastAsia="仿宋" w:cs="仿宋"/>
          <w:sz w:val="32"/>
          <w:szCs w:val="32"/>
        </w:rPr>
      </w:pPr>
      <w:r>
        <w:rPr>
          <w:rFonts w:hint="eastAsia" w:ascii="仿宋" w:hAnsi="仿宋" w:eastAsia="仿宋" w:cs="仿宋"/>
          <w:sz w:val="32"/>
          <w:szCs w:val="32"/>
        </w:rPr>
        <w:t>（二）一般公共预算当年拨款结构情况。</w:t>
      </w:r>
    </w:p>
    <w:p>
      <w:pPr>
        <w:rPr>
          <w:rFonts w:hint="default" w:ascii="仿宋" w:hAnsi="仿宋" w:eastAsia="仿宋" w:cs="仿宋"/>
          <w:sz w:val="32"/>
          <w:szCs w:val="32"/>
          <w:lang w:val="en-US" w:eastAsia="zh-CN"/>
        </w:rPr>
      </w:pPr>
      <w:r>
        <w:rPr>
          <w:rFonts w:hint="eastAsia" w:ascii="仿宋" w:hAnsi="仿宋" w:eastAsia="仿宋" w:cs="仿宋"/>
          <w:sz w:val="32"/>
          <w:szCs w:val="32"/>
        </w:rPr>
        <w:t>一般公共服务支出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214.39</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lang w:val="en-US" w:eastAsia="zh-CN"/>
        </w:rPr>
        <w:t>77.26</w:t>
      </w:r>
      <w:r>
        <w:rPr>
          <w:rFonts w:hint="eastAsia" w:ascii="仿宋" w:hAnsi="仿宋" w:eastAsia="仿宋" w:cs="仿宋"/>
          <w:sz w:val="32"/>
          <w:szCs w:val="32"/>
        </w:rPr>
        <w:t>%；</w:t>
      </w:r>
      <w:r>
        <w:rPr>
          <w:rFonts w:hint="eastAsia" w:ascii="仿宋" w:hAnsi="仿宋" w:eastAsia="仿宋" w:cs="仿宋"/>
          <w:sz w:val="32"/>
          <w:szCs w:val="32"/>
          <w:lang w:eastAsia="zh-CN"/>
        </w:rPr>
        <w:t>社会保障和就业支出</w:t>
      </w:r>
      <w:r>
        <w:rPr>
          <w:rFonts w:hint="eastAsia" w:ascii="仿宋" w:hAnsi="仿宋" w:eastAsia="仿宋" w:cs="仿宋"/>
          <w:sz w:val="32"/>
          <w:szCs w:val="32"/>
          <w:lang w:val="en-US" w:eastAsia="zh-CN"/>
        </w:rPr>
        <w:t>27.44，占9.89%，卫生健康支</w:t>
      </w:r>
      <w:r>
        <w:rPr>
          <w:rFonts w:hint="eastAsia" w:ascii="仿宋" w:hAnsi="仿宋" w:eastAsia="仿宋" w:cs="仿宋"/>
          <w:sz w:val="32"/>
          <w:szCs w:val="32"/>
          <w:highlight w:val="none"/>
          <w:lang w:val="en-US" w:eastAsia="zh-CN"/>
        </w:rPr>
        <w:t>出17.83</w:t>
      </w:r>
      <w:r>
        <w:rPr>
          <w:rFonts w:hint="eastAsia" w:ascii="仿宋" w:hAnsi="仿宋" w:eastAsia="仿宋" w:cs="仿宋"/>
          <w:sz w:val="32"/>
          <w:szCs w:val="32"/>
          <w:lang w:val="en-US" w:eastAsia="zh-CN"/>
        </w:rPr>
        <w:t>占6.43%  住房保障支出17.82万元，占6.42% 。</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1.一般公共服务支出（类）财政事务（款）行政运行（项）2022年预算数为</w:t>
      </w:r>
      <w:r>
        <w:rPr>
          <w:rFonts w:hint="eastAsia" w:ascii="仿宋" w:hAnsi="仿宋" w:eastAsia="仿宋"/>
          <w:sz w:val="32"/>
          <w:szCs w:val="32"/>
          <w:u w:val="single"/>
          <w:lang w:val="en-US" w:eastAsia="zh-CN"/>
        </w:rPr>
        <w:t>257.48</w:t>
      </w:r>
      <w:r>
        <w:rPr>
          <w:rFonts w:hint="eastAsia" w:ascii="仿宋" w:hAnsi="仿宋" w:eastAsia="仿宋"/>
          <w:sz w:val="32"/>
          <w:szCs w:val="32"/>
        </w:rPr>
        <w:t>万元，比2021年执行数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58.55</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29.43</w:t>
      </w:r>
      <w:r>
        <w:rPr>
          <w:rFonts w:hint="eastAsia" w:ascii="仿宋" w:hAnsi="仿宋" w:eastAsia="仿宋"/>
          <w:sz w:val="32"/>
          <w:szCs w:val="32"/>
        </w:rPr>
        <w:t>%。主要是</w:t>
      </w:r>
      <w:r>
        <w:rPr>
          <w:rFonts w:hint="eastAsia" w:ascii="仿宋" w:hAnsi="仿宋" w:eastAsia="仿宋"/>
          <w:sz w:val="32"/>
          <w:szCs w:val="32"/>
          <w:lang w:eastAsia="zh-CN"/>
        </w:rPr>
        <w:t>人员工资及经费增加</w:t>
      </w:r>
      <w:r>
        <w:rPr>
          <w:rFonts w:hint="eastAsia" w:ascii="仿宋" w:hAnsi="仿宋" w:eastAsia="仿宋"/>
          <w:sz w:val="32"/>
          <w:szCs w:val="32"/>
        </w:rPr>
        <w:t>。</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2.一般公共服务支出（类）财政事务（款）一般行政管理事务（项）2022年预算数为</w:t>
      </w:r>
      <w:r>
        <w:rPr>
          <w:rFonts w:hint="eastAsia" w:ascii="仿宋" w:hAnsi="仿宋" w:eastAsia="仿宋"/>
          <w:sz w:val="32"/>
          <w:szCs w:val="32"/>
          <w:u w:val="single"/>
          <w:lang w:val="en-US" w:eastAsia="zh-CN"/>
        </w:rPr>
        <w:t>20</w:t>
      </w:r>
      <w:r>
        <w:rPr>
          <w:rFonts w:hint="eastAsia" w:ascii="仿宋" w:hAnsi="仿宋" w:eastAsia="仿宋"/>
          <w:sz w:val="32"/>
          <w:szCs w:val="32"/>
        </w:rPr>
        <w:t>万元，比2021 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0</w:t>
      </w:r>
      <w:r>
        <w:rPr>
          <w:rFonts w:hint="eastAsia" w:ascii="仿宋" w:hAnsi="仿宋" w:eastAsia="仿宋"/>
          <w:sz w:val="32"/>
          <w:szCs w:val="32"/>
        </w:rPr>
        <w:t>万元，下降</w:t>
      </w:r>
      <w:r>
        <w:rPr>
          <w:rFonts w:hint="eastAsia" w:ascii="仿宋" w:hAnsi="仿宋" w:eastAsia="仿宋"/>
          <w:sz w:val="32"/>
          <w:szCs w:val="32"/>
          <w:u w:val="single"/>
          <w:lang w:val="en-US" w:eastAsia="zh-CN"/>
        </w:rPr>
        <w:t>0</w:t>
      </w:r>
      <w:r>
        <w:rPr>
          <w:rFonts w:hint="eastAsia" w:ascii="仿宋" w:hAnsi="仿宋" w:eastAsia="仿宋"/>
          <w:sz w:val="32"/>
          <w:szCs w:val="32"/>
        </w:rPr>
        <w:t>%。主要是</w:t>
      </w:r>
      <w:r>
        <w:rPr>
          <w:rFonts w:hint="eastAsia" w:ascii="仿宋" w:hAnsi="仿宋" w:eastAsia="仿宋"/>
          <w:sz w:val="32"/>
          <w:szCs w:val="32"/>
          <w:lang w:val="en-US" w:eastAsia="zh-CN"/>
        </w:rPr>
        <w:t>2022年项目无变化。</w:t>
      </w:r>
    </w:p>
    <w:p>
      <w:pPr>
        <w:rPr>
          <w:rFonts w:hint="eastAsia" w:ascii="仿宋" w:hAnsi="仿宋" w:eastAsia="仿宋" w:cs="仿宋"/>
          <w:b/>
          <w:bCs/>
          <w:sz w:val="32"/>
          <w:szCs w:val="32"/>
        </w:rPr>
      </w:pPr>
      <w:r>
        <w:rPr>
          <w:rFonts w:hint="eastAsia" w:ascii="仿宋" w:hAnsi="仿宋" w:eastAsia="仿宋" w:cs="仿宋"/>
          <w:b/>
          <w:bCs/>
          <w:sz w:val="32"/>
          <w:szCs w:val="32"/>
        </w:rPr>
        <w:t>六、202</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年一般公共预算基本支出表的说明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4" w:lineRule="atLeast"/>
        <w:ind w:left="0" w:right="0" w:firstLine="516"/>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2023年一般公共预算基本支出257.48万元，其中：人员经费237.7万元，主要包括：工资性支出159.78万元（其中基本工资28.21万元、津贴补贴131.57万元）、机关事业单位养老保险缴费25.56万元、城镇职工基本医疗保险缴费12.78万元、公务员医疗补助3.11万元、其他社会保险缴费1.88万元、其他工资福利支出12.43万元、住房公积金17.82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4" w:lineRule="atLeast"/>
        <w:ind w:left="0" w:right="0" w:firstLine="516"/>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公用经费19.78万元，主要包括：办公费10.4万元、差旅费4万元、维修(护)费0.6万元、公务用车运行维护费1.2万元、工会经费3.58万元。</w:t>
      </w:r>
    </w:p>
    <w:p>
      <w:pPr>
        <w:rPr>
          <w:rFonts w:hint="eastAsia" w:ascii="仿宋" w:hAnsi="仿宋" w:eastAsia="仿宋" w:cs="仿宋"/>
          <w:sz w:val="32"/>
          <w:szCs w:val="32"/>
        </w:rPr>
      </w:pPr>
      <w:r>
        <w:rPr>
          <w:rFonts w:hint="eastAsia" w:ascii="仿宋" w:hAnsi="仿宋" w:eastAsia="仿宋" w:cs="仿宋"/>
          <w:sz w:val="32"/>
          <w:szCs w:val="32"/>
        </w:rPr>
        <w:t>七、202</w:t>
      </w:r>
      <w:r>
        <w:rPr>
          <w:rFonts w:hint="eastAsia" w:ascii="仿宋" w:hAnsi="仿宋" w:eastAsia="仿宋" w:cs="仿宋"/>
          <w:sz w:val="32"/>
          <w:szCs w:val="32"/>
          <w:lang w:val="en-US" w:eastAsia="zh-CN"/>
        </w:rPr>
        <w:t>3</w:t>
      </w:r>
      <w:r>
        <w:rPr>
          <w:rFonts w:hint="eastAsia" w:ascii="仿宋" w:hAnsi="仿宋" w:eastAsia="仿宋" w:cs="仿宋"/>
          <w:sz w:val="32"/>
          <w:szCs w:val="32"/>
        </w:rPr>
        <w:t>年度一般公共预算“三公”经费预算情况说明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年“三公”经费预算数为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1.2</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万元。2022年“三公”经费预算</w:t>
      </w:r>
      <w:r>
        <w:rPr>
          <w:rFonts w:hint="eastAsia" w:ascii="仿宋" w:hAnsi="仿宋" w:eastAsia="仿宋"/>
          <w:sz w:val="32"/>
          <w:szCs w:val="32"/>
          <w:lang w:eastAsia="zh-CN"/>
        </w:rPr>
        <w:t>比</w:t>
      </w:r>
      <w:r>
        <w:rPr>
          <w:rFonts w:hint="eastAsia" w:ascii="仿宋" w:hAnsi="仿宋" w:eastAsia="仿宋"/>
          <w:sz w:val="32"/>
          <w:szCs w:val="32"/>
        </w:rPr>
        <w:t>2021年</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减少</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lang w:eastAsia="zh-CN"/>
        </w:rPr>
        <w:t>。</w:t>
      </w: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rPr>
          <w:rFonts w:hint="eastAsia" w:ascii="仿宋" w:hAnsi="仿宋" w:eastAsia="仿宋" w:cs="仿宋"/>
          <w:sz w:val="32"/>
          <w:szCs w:val="32"/>
        </w:rPr>
      </w:pPr>
      <w:r>
        <w:rPr>
          <w:rFonts w:hint="eastAsia" w:ascii="仿宋" w:hAnsi="仿宋" w:eastAsia="仿宋" w:cs="仿宋"/>
          <w:sz w:val="32"/>
          <w:szCs w:val="32"/>
        </w:rPr>
        <w:t>八、202</w:t>
      </w:r>
      <w:r>
        <w:rPr>
          <w:rFonts w:hint="eastAsia" w:ascii="仿宋" w:hAnsi="仿宋" w:eastAsia="仿宋" w:cs="仿宋"/>
          <w:sz w:val="32"/>
          <w:szCs w:val="32"/>
          <w:lang w:val="en-US" w:eastAsia="zh-CN"/>
        </w:rPr>
        <w:t>3</w:t>
      </w:r>
      <w:r>
        <w:rPr>
          <w:rFonts w:hint="eastAsia" w:ascii="仿宋" w:hAnsi="仿宋" w:eastAsia="仿宋" w:cs="仿宋"/>
          <w:sz w:val="32"/>
          <w:szCs w:val="32"/>
        </w:rPr>
        <w:t>年度政府性基金预算支出情况说明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我部门202</w:t>
      </w:r>
      <w:r>
        <w:rPr>
          <w:rFonts w:hint="eastAsia" w:ascii="仿宋" w:hAnsi="仿宋" w:eastAsia="仿宋" w:cs="仿宋"/>
          <w:sz w:val="32"/>
          <w:szCs w:val="32"/>
          <w:lang w:val="en-US" w:eastAsia="zh-CN"/>
        </w:rPr>
        <w:t>3</w:t>
      </w:r>
      <w:r>
        <w:rPr>
          <w:rFonts w:hint="eastAsia" w:ascii="仿宋" w:hAnsi="仿宋" w:eastAsia="仿宋" w:cs="仿宋"/>
          <w:sz w:val="32"/>
          <w:szCs w:val="32"/>
        </w:rPr>
        <w:t>年度没有使用政府性基金安排的支出”。</w:t>
      </w:r>
    </w:p>
    <w:p>
      <w:pPr>
        <w:rPr>
          <w:rFonts w:hint="eastAsia" w:ascii="仿宋" w:hAnsi="仿宋" w:eastAsia="仿宋" w:cs="仿宋"/>
          <w:sz w:val="32"/>
          <w:szCs w:val="32"/>
        </w:rPr>
      </w:pPr>
      <w:r>
        <w:rPr>
          <w:rFonts w:hint="eastAsia" w:ascii="仿宋" w:hAnsi="仿宋" w:eastAsia="仿宋" w:cs="仿宋"/>
          <w:sz w:val="32"/>
          <w:szCs w:val="32"/>
        </w:rPr>
        <w:t>九、其他重要事项的情况说明</w:t>
      </w:r>
    </w:p>
    <w:p>
      <w:pPr>
        <w:rPr>
          <w:rFonts w:hint="eastAsia" w:ascii="仿宋" w:hAnsi="仿宋" w:eastAsia="仿宋" w:cs="仿宋"/>
          <w:sz w:val="32"/>
          <w:szCs w:val="32"/>
        </w:rPr>
      </w:pPr>
      <w:r>
        <w:rPr>
          <w:rFonts w:hint="eastAsia" w:ascii="仿宋" w:hAnsi="仿宋" w:eastAsia="仿宋" w:cs="仿宋"/>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年部门本级</w:t>
      </w:r>
      <w:r>
        <w:rPr>
          <w:rFonts w:hint="eastAsia" w:ascii="仿宋" w:hAnsi="仿宋" w:eastAsia="仿宋"/>
          <w:sz w:val="32"/>
          <w:szCs w:val="32"/>
          <w:lang w:val="en-US" w:eastAsia="zh-CN"/>
        </w:rPr>
        <w:t>经信</w:t>
      </w:r>
      <w:r>
        <w:rPr>
          <w:rFonts w:hint="eastAsia" w:ascii="仿宋" w:hAnsi="仿宋" w:eastAsia="仿宋"/>
          <w:sz w:val="32"/>
          <w:szCs w:val="32"/>
        </w:rPr>
        <w:t>局等</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w:t>
      </w:r>
      <w:r>
        <w:rPr>
          <w:rFonts w:hint="eastAsia" w:ascii="仿宋" w:hAnsi="仿宋" w:eastAsia="仿宋"/>
          <w:sz w:val="32"/>
          <w:szCs w:val="32"/>
          <w:lang w:val="en-US" w:eastAsia="zh-CN"/>
        </w:rPr>
        <w:t>无其他</w:t>
      </w:r>
      <w:r>
        <w:rPr>
          <w:rFonts w:hint="eastAsia" w:ascii="仿宋" w:hAnsi="仿宋" w:eastAsia="仿宋"/>
          <w:sz w:val="32"/>
          <w:szCs w:val="32"/>
        </w:rPr>
        <w:t>参公管理事业单位的机关运行经费财政拨款预算</w:t>
      </w:r>
      <w:r>
        <w:rPr>
          <w:rFonts w:hint="eastAsia" w:ascii="仿宋_GB2312" w:eastAsia="仿宋_GB2312" w:cs="仿宋_GB2312" w:hAnsiTheme="minorHAnsi"/>
          <w:kern w:val="0"/>
          <w:sz w:val="32"/>
          <w:szCs w:val="32"/>
          <w:u w:val="single"/>
          <w:lang w:val="en-US" w:eastAsia="zh-CN"/>
        </w:rPr>
        <w:t>19.78</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8.98</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83.14</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w:t>
      </w:r>
    </w:p>
    <w:p>
      <w:pPr>
        <w:autoSpaceDE w:val="0"/>
        <w:autoSpaceDN w:val="0"/>
        <w:adjustRightInd w:val="0"/>
        <w:rPr>
          <w:rFonts w:hint="eastAsia" w:ascii="仿宋" w:hAnsi="仿宋" w:eastAsia="仿宋" w:cs="仿宋"/>
          <w:sz w:val="32"/>
          <w:szCs w:val="32"/>
        </w:rPr>
      </w:pPr>
      <w:r>
        <w:rPr>
          <w:rFonts w:hint="eastAsia" w:ascii="仿宋" w:hAnsi="仿宋" w:eastAsia="仿宋" w:cs="仿宋"/>
          <w:sz w:val="32"/>
          <w:szCs w:val="32"/>
        </w:rPr>
        <w:t>（二）政府采购情况说明。</w:t>
      </w:r>
    </w:p>
    <w:p>
      <w:pPr>
        <w:autoSpaceDE w:val="0"/>
        <w:autoSpaceDN w:val="0"/>
        <w:adjustRightInd w:val="0"/>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年本部门</w:t>
      </w:r>
      <w:r>
        <w:rPr>
          <w:rFonts w:hint="eastAsia" w:ascii="仿宋" w:hAnsi="仿宋" w:eastAsia="仿宋" w:cs="仿宋"/>
          <w:sz w:val="32"/>
          <w:szCs w:val="32"/>
          <w:lang w:eastAsia="zh-CN"/>
        </w:rPr>
        <w:t>无</w:t>
      </w:r>
      <w:r>
        <w:rPr>
          <w:rFonts w:hint="eastAsia" w:ascii="仿宋" w:hAnsi="仿宋" w:eastAsia="仿宋" w:cs="仿宋"/>
          <w:sz w:val="32"/>
          <w:szCs w:val="32"/>
        </w:rPr>
        <w:t>政府采购预算</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（三）国有资产占有使用情况说明。</w:t>
      </w:r>
    </w:p>
    <w:p>
      <w:pPr>
        <w:autoSpaceDE w:val="0"/>
        <w:autoSpaceDN w:val="0"/>
        <w:adjustRightInd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截至202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2</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月底，本部门共有车辆</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辆</w:t>
      </w:r>
      <w:r>
        <w:rPr>
          <w:rFonts w:hint="eastAsia" w:ascii="仿宋" w:hAnsi="仿宋" w:eastAsia="仿宋" w:cs="仿宋"/>
          <w:sz w:val="32"/>
          <w:szCs w:val="32"/>
          <w:lang w:eastAsia="zh-CN"/>
        </w:rPr>
        <w:t>。</w:t>
      </w:r>
    </w:p>
    <w:p>
      <w:pPr>
        <w:spacing w:line="588" w:lineRule="exact"/>
        <w:rPr>
          <w:rFonts w:hint="eastAsia" w:ascii="仿宋" w:hAnsi="仿宋" w:eastAsia="仿宋" w:cs="仿宋"/>
          <w:b/>
          <w:sz w:val="32"/>
          <w:szCs w:val="32"/>
        </w:rPr>
      </w:pPr>
      <w:r>
        <w:rPr>
          <w:rFonts w:hint="eastAsia" w:ascii="仿宋" w:hAnsi="仿宋" w:eastAsia="仿宋" w:cs="仿宋"/>
          <w:sz w:val="32"/>
          <w:szCs w:val="32"/>
        </w:rPr>
        <w:t>（四）202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年预算绩效目标管理情况。</w:t>
      </w:r>
    </w:p>
    <w:p>
      <w:pPr>
        <w:spacing w:line="58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年实现财政支出绩效目标管理全覆盖，实行绩效目标管理</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10</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个，资金</w:t>
      </w:r>
      <w:r>
        <w:rPr>
          <w:rFonts w:hint="eastAsia" w:ascii="仿宋" w:hAnsi="仿宋" w:eastAsia="仿宋" w:cs="仿宋"/>
          <w:kern w:val="0"/>
          <w:sz w:val="32"/>
          <w:szCs w:val="32"/>
          <w:u w:val="single"/>
          <w:lang w:val="en-US" w:eastAsia="zh-CN"/>
        </w:rPr>
        <w:t>277.48</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万元。</w:t>
      </w:r>
      <w:r>
        <w:rPr>
          <w:rFonts w:hint="eastAsia" w:ascii="仿宋" w:hAnsi="仿宋" w:eastAsia="仿宋"/>
          <w:color w:val="auto"/>
          <w:sz w:val="32"/>
          <w:szCs w:val="32"/>
        </w:rPr>
        <w:t>其中：中央转移支付资金</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0</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万元，地方资金</w:t>
      </w:r>
      <w:r>
        <w:rPr>
          <w:rFonts w:hint="eastAsia" w:ascii="仿宋" w:hAnsi="仿宋" w:eastAsia="仿宋"/>
          <w:color w:val="auto"/>
          <w:sz w:val="32"/>
          <w:szCs w:val="32"/>
          <w:lang w:val="en-US" w:eastAsia="zh-CN"/>
        </w:rPr>
        <w:t>277.48</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w:t>
      </w:r>
      <w:r>
        <w:rPr>
          <w:rFonts w:hint="eastAsia" w:ascii="仿宋" w:hAnsi="仿宋" w:eastAsia="仿宋" w:cs="仿宋"/>
          <w:sz w:val="32"/>
          <w:szCs w:val="32"/>
        </w:rPr>
        <w:t>重点项目（见名词解释）实行绩效目标管理</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个，分别是（项目名称</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eastAsia="zh-CN"/>
        </w:rPr>
        <w:t>招商引资扶持资金</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，资金</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20</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万元），占年初项目支出预算总额的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4</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扶贫资金管理使用情况及绩效目标情况说明。</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我单位</w:t>
      </w:r>
      <w:r>
        <w:rPr>
          <w:rFonts w:hint="eastAsia" w:ascii="仿宋" w:hAnsi="仿宋" w:eastAsia="仿宋" w:cs="仿宋"/>
          <w:sz w:val="32"/>
          <w:szCs w:val="32"/>
          <w:lang w:val="en-US" w:eastAsia="zh-CN"/>
        </w:rPr>
        <w:t>2023年无扶贫资金。</w:t>
      </w:r>
    </w:p>
    <w:p>
      <w:pPr>
        <w:numPr>
          <w:ilvl w:val="0"/>
          <w:numId w:val="1"/>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政府债务情况。</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我单位</w:t>
      </w:r>
      <w:r>
        <w:rPr>
          <w:rFonts w:hint="eastAsia" w:ascii="仿宋" w:hAnsi="仿宋" w:eastAsia="仿宋" w:cs="仿宋"/>
          <w:sz w:val="32"/>
          <w:szCs w:val="32"/>
          <w:lang w:val="en-US" w:eastAsia="zh-CN"/>
        </w:rPr>
        <w:t>2023年无政府债务。</w:t>
      </w: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bookmarkStart w:id="0" w:name="_GoBack"/>
      <w:bookmarkEnd w:id="0"/>
    </w:p>
    <w:p>
      <w:pPr>
        <w:jc w:val="center"/>
        <w:rPr>
          <w:rFonts w:hint="eastAsia" w:ascii="仿宋" w:hAnsi="仿宋" w:eastAsia="仿宋" w:cs="仿宋"/>
          <w:sz w:val="32"/>
          <w:szCs w:val="32"/>
        </w:rPr>
      </w:pPr>
      <w:r>
        <w:rPr>
          <w:rFonts w:hint="eastAsia" w:ascii="仿宋" w:hAnsi="仿宋" w:eastAsia="仿宋" w:cs="仿宋"/>
          <w:sz w:val="32"/>
          <w:szCs w:val="32"/>
        </w:rPr>
        <w:t>第四部分</w:t>
      </w:r>
    </w:p>
    <w:p>
      <w:pPr>
        <w:jc w:val="center"/>
        <w:rPr>
          <w:rFonts w:hint="eastAsia" w:ascii="仿宋" w:hAnsi="仿宋" w:eastAsia="仿宋" w:cs="仿宋"/>
          <w:sz w:val="32"/>
          <w:szCs w:val="32"/>
        </w:rPr>
      </w:pPr>
      <w:r>
        <w:rPr>
          <w:rFonts w:hint="eastAsia" w:ascii="仿宋" w:hAnsi="仿宋" w:eastAsia="仿宋" w:cs="仿宋"/>
          <w:sz w:val="32"/>
          <w:szCs w:val="32"/>
        </w:rPr>
        <w:t>名词解释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一、一般公共预算拨款收入：指财政部门当年拨付的资金。</w:t>
      </w:r>
    </w:p>
    <w:p>
      <w:pPr>
        <w:rPr>
          <w:rFonts w:hint="eastAsia" w:ascii="仿宋" w:hAnsi="仿宋" w:eastAsia="仿宋" w:cs="仿宋"/>
          <w:sz w:val="32"/>
          <w:szCs w:val="32"/>
        </w:rPr>
      </w:pPr>
      <w:r>
        <w:rPr>
          <w:rFonts w:hint="eastAsia" w:ascii="仿宋" w:hAnsi="仿宋" w:eastAsia="仿宋" w:cs="仿宋"/>
          <w:sz w:val="32"/>
          <w:szCs w:val="32"/>
        </w:rPr>
        <w:t>二、事业收入：指事业单位开展专业业务活动及辅助活动所取得的收入。如：</w:t>
      </w:r>
    </w:p>
    <w:p>
      <w:pPr>
        <w:rPr>
          <w:rFonts w:hint="eastAsia" w:ascii="仿宋" w:hAnsi="仿宋" w:eastAsia="仿宋" w:cs="仿宋"/>
          <w:sz w:val="32"/>
          <w:szCs w:val="32"/>
        </w:rPr>
      </w:pPr>
      <w:r>
        <w:rPr>
          <w:rFonts w:hint="eastAsia" w:ascii="仿宋" w:hAnsi="仿宋" w:eastAsia="仿宋" w:cs="仿宋"/>
          <w:sz w:val="32"/>
          <w:szCs w:val="32"/>
        </w:rPr>
        <w:t>三、事业单位经营收入：指事业单位在专业业务活动及其辅助活动之外开展非独立核算经营活动取得的收入。如：</w:t>
      </w:r>
    </w:p>
    <w:p>
      <w:pPr>
        <w:spacing w:line="588" w:lineRule="exact"/>
        <w:rPr>
          <w:rFonts w:hint="eastAsia" w:ascii="仿宋" w:hAnsi="仿宋" w:eastAsia="仿宋" w:cs="仿宋"/>
          <w:sz w:val="32"/>
          <w:szCs w:val="32"/>
        </w:rPr>
      </w:pPr>
      <w:r>
        <w:rPr>
          <w:rFonts w:hint="eastAsia" w:ascii="仿宋" w:hAnsi="仿宋" w:eastAsia="仿宋" w:cs="仿宋"/>
          <w:sz w:val="32"/>
          <w:szCs w:val="32"/>
        </w:rPr>
        <w:t>四、机关运行经费：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hint="eastAsia" w:ascii="仿宋" w:hAnsi="仿宋" w:eastAsia="仿宋" w:cs="仿宋"/>
          <w:sz w:val="32"/>
          <w:szCs w:val="32"/>
        </w:rPr>
      </w:pPr>
      <w:r>
        <w:rPr>
          <w:rFonts w:hint="eastAsia" w:ascii="仿宋" w:hAnsi="仿宋" w:eastAsia="仿宋" w:cs="仿宋"/>
          <w:sz w:val="32"/>
          <w:szCs w:val="32"/>
        </w:rPr>
        <w:t>五、其他收入：指除上述“一般公共预算拨款收入”、“事业收入”、“事业单位经营收入”等以外的收入。主要是按规定动用的售房收入、存款利息收入等。</w:t>
      </w:r>
    </w:p>
    <w:p>
      <w:pPr>
        <w:rPr>
          <w:rFonts w:hint="eastAsia" w:ascii="仿宋" w:hAnsi="仿宋" w:eastAsia="仿宋" w:cs="仿宋"/>
          <w:sz w:val="32"/>
          <w:szCs w:val="32"/>
        </w:rPr>
      </w:pPr>
      <w:r>
        <w:rPr>
          <w:rFonts w:hint="eastAsia" w:ascii="仿宋" w:hAnsi="仿宋" w:eastAsia="仿宋" w:cs="仿宋"/>
          <w:sz w:val="32"/>
          <w:szCs w:val="32"/>
        </w:rPr>
        <w:t>六、上年结转：指以前年度安排、结转到本年仍按原规定用途继续使用的资金。</w:t>
      </w:r>
    </w:p>
    <w:p>
      <w:pPr>
        <w:spacing w:line="588" w:lineRule="exact"/>
        <w:rPr>
          <w:rFonts w:hint="eastAsia" w:ascii="仿宋" w:hAnsi="仿宋" w:eastAsia="仿宋" w:cs="仿宋"/>
          <w:sz w:val="32"/>
          <w:szCs w:val="32"/>
        </w:rPr>
      </w:pPr>
      <w:r>
        <w:rPr>
          <w:rFonts w:hint="eastAsia" w:ascii="仿宋" w:hAnsi="仿宋" w:eastAsia="仿宋" w:cs="仿宋"/>
          <w:sz w:val="32"/>
          <w:szCs w:val="32"/>
        </w:rPr>
        <w:t>七、重点项目：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sz w:val="32"/>
          <w:szCs w:val="32"/>
        </w:rPr>
        <w:t>八、基本支出：指为保障机构正常运转、完成日常工作任务而发生的人员支出和公用支出。</w:t>
      </w:r>
    </w:p>
    <w:p>
      <w:pPr>
        <w:autoSpaceDE w:val="0"/>
        <w:autoSpaceDN w:val="0"/>
        <w:adjustRightInd w:val="0"/>
        <w:jc w:val="left"/>
        <w:rPr>
          <w:rFonts w:hint="eastAsia" w:ascii="仿宋" w:hAnsi="仿宋" w:eastAsia="仿宋" w:cs="仿宋"/>
          <w:sz w:val="32"/>
          <w:szCs w:val="32"/>
        </w:rPr>
      </w:pPr>
      <w:r>
        <w:rPr>
          <w:rFonts w:hint="eastAsia" w:ascii="仿宋" w:hAnsi="仿宋" w:eastAsia="仿宋" w:cs="仿宋"/>
          <w:sz w:val="32"/>
          <w:szCs w:val="32"/>
        </w:rPr>
        <w:t>九、项目支出：指在基本支出之外为完成特定行政任务或事业发展目标所发生的支出。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sz w:val="32"/>
          <w:szCs w:val="32"/>
        </w:rPr>
        <w:t>十、事业单位经营支出：指事业单位在专业业务活动及其辅助活动之外开展非独立核算经营活动发生的支出。</w:t>
      </w:r>
    </w:p>
    <w:p>
      <w:pPr>
        <w:rPr>
          <w:rFonts w:hint="eastAsia" w:ascii="仿宋" w:hAnsi="仿宋" w:eastAsia="仿宋" w:cs="仿宋"/>
          <w:sz w:val="32"/>
          <w:szCs w:val="32"/>
        </w:rPr>
      </w:pPr>
      <w:r>
        <w:rPr>
          <w:rFonts w:hint="eastAsia" w:ascii="仿宋" w:hAnsi="仿宋" w:eastAsia="仿宋" w:cs="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4511060">
    <w:nsid w:val="02A72F54"/>
    <w:multiLevelType w:val="singleLevel"/>
    <w:tmpl w:val="02A72F54"/>
    <w:lvl w:ilvl="0" w:tentative="1">
      <w:start w:val="5"/>
      <w:numFmt w:val="chineseCounting"/>
      <w:suff w:val="nothing"/>
      <w:lvlText w:val="（%1）"/>
      <w:lvlJc w:val="left"/>
      <w:rPr>
        <w:rFonts w:hint="eastAsia"/>
      </w:rPr>
    </w:lvl>
  </w:abstractNum>
  <w:num w:numId="1">
    <w:abstractNumId w:val="445110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15234"/>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06443D"/>
    <w:rsid w:val="01CF1530"/>
    <w:rsid w:val="02300221"/>
    <w:rsid w:val="029B02E1"/>
    <w:rsid w:val="031E451D"/>
    <w:rsid w:val="050E236F"/>
    <w:rsid w:val="05C869C2"/>
    <w:rsid w:val="073A569E"/>
    <w:rsid w:val="0828010E"/>
    <w:rsid w:val="0D004C93"/>
    <w:rsid w:val="0D5E127F"/>
    <w:rsid w:val="0DA27AF9"/>
    <w:rsid w:val="0E370B89"/>
    <w:rsid w:val="0EE7610B"/>
    <w:rsid w:val="0FF860F6"/>
    <w:rsid w:val="13A740BB"/>
    <w:rsid w:val="143516C6"/>
    <w:rsid w:val="1A1E49AB"/>
    <w:rsid w:val="1C511068"/>
    <w:rsid w:val="1D994A74"/>
    <w:rsid w:val="1DC615E1"/>
    <w:rsid w:val="1F1826F8"/>
    <w:rsid w:val="1FCA14B3"/>
    <w:rsid w:val="20813AF6"/>
    <w:rsid w:val="20EC22F2"/>
    <w:rsid w:val="22F34C27"/>
    <w:rsid w:val="268169ED"/>
    <w:rsid w:val="27112725"/>
    <w:rsid w:val="28D728F5"/>
    <w:rsid w:val="2AAD7DB1"/>
    <w:rsid w:val="2EDA0B64"/>
    <w:rsid w:val="2FA86D99"/>
    <w:rsid w:val="33A06CFE"/>
    <w:rsid w:val="343E1A7A"/>
    <w:rsid w:val="346F60D7"/>
    <w:rsid w:val="354D6418"/>
    <w:rsid w:val="36E96223"/>
    <w:rsid w:val="386C3059"/>
    <w:rsid w:val="38D155B2"/>
    <w:rsid w:val="398C3287"/>
    <w:rsid w:val="39AB70AC"/>
    <w:rsid w:val="3AF15A98"/>
    <w:rsid w:val="3EC53192"/>
    <w:rsid w:val="41A35612"/>
    <w:rsid w:val="42254279"/>
    <w:rsid w:val="451D48CB"/>
    <w:rsid w:val="4574179F"/>
    <w:rsid w:val="466C55C9"/>
    <w:rsid w:val="4A485DEB"/>
    <w:rsid w:val="4A4A2EFA"/>
    <w:rsid w:val="4AC00FE3"/>
    <w:rsid w:val="4B137364"/>
    <w:rsid w:val="4B18369D"/>
    <w:rsid w:val="4B4646A6"/>
    <w:rsid w:val="4B6E0A3F"/>
    <w:rsid w:val="4B921A16"/>
    <w:rsid w:val="4D6B3488"/>
    <w:rsid w:val="4DD94895"/>
    <w:rsid w:val="4DF55447"/>
    <w:rsid w:val="4EC2357B"/>
    <w:rsid w:val="50B96100"/>
    <w:rsid w:val="52903990"/>
    <w:rsid w:val="5352473F"/>
    <w:rsid w:val="565F5B54"/>
    <w:rsid w:val="58B55EFF"/>
    <w:rsid w:val="58CC5D1A"/>
    <w:rsid w:val="5A225816"/>
    <w:rsid w:val="5A755946"/>
    <w:rsid w:val="5B5E31C0"/>
    <w:rsid w:val="5B8027F4"/>
    <w:rsid w:val="5BBF3B5D"/>
    <w:rsid w:val="5C0056FE"/>
    <w:rsid w:val="5C7B2B0D"/>
    <w:rsid w:val="5EA20CD3"/>
    <w:rsid w:val="5ED306EA"/>
    <w:rsid w:val="5F4B3119"/>
    <w:rsid w:val="601B0D3D"/>
    <w:rsid w:val="614D17B2"/>
    <w:rsid w:val="617C1CB0"/>
    <w:rsid w:val="61851791"/>
    <w:rsid w:val="64C574CA"/>
    <w:rsid w:val="652A37D1"/>
    <w:rsid w:val="66552ACF"/>
    <w:rsid w:val="683D2B94"/>
    <w:rsid w:val="686314D3"/>
    <w:rsid w:val="68662D72"/>
    <w:rsid w:val="69F543AD"/>
    <w:rsid w:val="6D3D2584"/>
    <w:rsid w:val="6D7D3037"/>
    <w:rsid w:val="6F9540A0"/>
    <w:rsid w:val="6FE56C72"/>
    <w:rsid w:val="735E1215"/>
    <w:rsid w:val="74604B19"/>
    <w:rsid w:val="74716D26"/>
    <w:rsid w:val="75736ACE"/>
    <w:rsid w:val="75952EE8"/>
    <w:rsid w:val="79621333"/>
    <w:rsid w:val="7A1C5763"/>
    <w:rsid w:val="7AF64429"/>
    <w:rsid w:val="7EA47CF8"/>
    <w:rsid w:val="7EC87E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TotalTime>0</TotalTime>
  <ScaleCrop>false</ScaleCrop>
  <LinksUpToDate>false</LinksUpToDate>
  <CharactersWithSpaces>3930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2023-02-23T11:16:08Z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6047A373288842AEB8B5FA4F98EBBB82</vt:lpwstr>
  </property>
</Properties>
</file>