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西藏那曲嘉黎县</w:t>
      </w:r>
      <w:r>
        <w:rPr>
          <w:rFonts w:hint="eastAsia" w:ascii="方正小标宋简体" w:hAnsi="仿宋" w:eastAsia="方正小标宋简体"/>
          <w:sz w:val="44"/>
          <w:szCs w:val="44"/>
          <w:lang w:val="en-US" w:eastAsia="zh-CN"/>
        </w:rPr>
        <w:t>人力资源和社会保障局</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 xml:space="preserve">2023 </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13</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嘉黎县人社局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嘉黎县人社局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val="en-US" w:eastAsia="zh-CN"/>
        </w:rPr>
        <w:t xml:space="preserve"> 嘉黎县人社局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西藏嘉黎县</w:t>
      </w:r>
      <w:r>
        <w:rPr>
          <w:rFonts w:hint="eastAsia" w:ascii="方正小标宋简体" w:hAnsi="仿宋" w:eastAsia="方正小标宋简体"/>
          <w:sz w:val="32"/>
          <w:szCs w:val="32"/>
          <w:lang w:val="en-US" w:eastAsia="zh-CN"/>
        </w:rPr>
        <w:t>人力资源和社会保障局</w:t>
      </w:r>
      <w:r>
        <w:rPr>
          <w:rFonts w:hint="eastAsia" w:ascii="方正小标宋简体" w:hAnsi="仿宋" w:eastAsia="方正小标宋简体"/>
          <w:sz w:val="32"/>
          <w:szCs w:val="32"/>
        </w:rPr>
        <w:t>概况</w:t>
      </w:r>
    </w:p>
    <w:p>
      <w:p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西藏那曲嘉黎县人力资源和社会保障局，位于嘉黎县城东路，属行政单位，核定编制人数：3人，其中正科级1人；副科级2人，目前实有工作人员7人。具体主要职能职责如下：</w:t>
      </w:r>
    </w:p>
    <w:p>
      <w:pPr>
        <w:rPr>
          <w:rFonts w:ascii="仿宋" w:hAnsi="仿宋" w:eastAsia="仿宋"/>
          <w:sz w:val="32"/>
          <w:szCs w:val="32"/>
        </w:rPr>
      </w:pPr>
    </w:p>
    <w:p>
      <w:pPr>
        <w:ind w:firstLine="640" w:firstLineChars="200"/>
        <w:rPr>
          <w:rFonts w:hint="eastAsia" w:ascii="仿宋" w:hAnsi="仿宋" w:eastAsia="仿宋"/>
          <w:sz w:val="32"/>
          <w:szCs w:val="32"/>
          <w:lang w:val="en-US" w:eastAsia="zh-CN"/>
        </w:rPr>
      </w:pPr>
      <w:r>
        <w:rPr>
          <w:rFonts w:hint="eastAsia" w:ascii="黑体" w:hAnsi="黑体" w:eastAsia="黑体"/>
          <w:sz w:val="32"/>
          <w:szCs w:val="32"/>
        </w:rPr>
        <w:t>一、</w:t>
      </w:r>
      <w:r>
        <w:rPr>
          <w:rFonts w:hint="eastAsia" w:ascii="仿宋" w:hAnsi="仿宋" w:eastAsia="仿宋"/>
          <w:sz w:val="32"/>
          <w:szCs w:val="32"/>
        </w:rPr>
        <w:t>组织部门印发的“三定”方案文件，规定的部门主要职责</w:t>
      </w:r>
      <w:r>
        <w:rPr>
          <w:rFonts w:hint="eastAsia" w:ascii="仿宋" w:hAnsi="仿宋" w:eastAsia="仿宋"/>
          <w:sz w:val="32"/>
          <w:szCs w:val="32"/>
          <w:lang w:val="en-US"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一</w:t>
      </w:r>
      <w:r>
        <w:rPr>
          <w:rFonts w:hint="eastAsia" w:ascii="仿宋" w:hAnsi="仿宋" w:eastAsia="仿宋"/>
          <w:sz w:val="32"/>
          <w:szCs w:val="32"/>
        </w:rPr>
        <w:t>)贯彻执行国家和自治区人力资源和社会保障的有关法律法规，起草人力资源和社会保障地方性法规和政府规章草案，拟订全市人力资源和社会保障事业发展政策、规划并组织实施和监督检查。</w:t>
      </w:r>
    </w:p>
    <w:p>
      <w:pPr>
        <w:ind w:firstLine="640" w:firstLineChars="200"/>
        <w:rPr>
          <w:rFonts w:hint="eastAsia" w:ascii="仿宋" w:hAnsi="仿宋" w:eastAsia="仿宋"/>
          <w:sz w:val="32"/>
          <w:szCs w:val="32"/>
        </w:rPr>
      </w:pPr>
      <w:r>
        <w:rPr>
          <w:rFonts w:hint="eastAsia" w:ascii="仿宋" w:hAnsi="仿宋" w:eastAsia="仿宋"/>
          <w:sz w:val="32"/>
          <w:szCs w:val="32"/>
        </w:rPr>
        <w:t>(二)拟订全县人力资源市场发展规划和人力资源服务业发展、人力资源流动政策并组织实施，促进人力资源合理流动、有效配置。</w:t>
      </w:r>
    </w:p>
    <w:p>
      <w:pPr>
        <w:ind w:firstLine="640" w:firstLineChars="200"/>
        <w:rPr>
          <w:rFonts w:hint="eastAsia" w:ascii="仿宋" w:hAnsi="仿宋" w:eastAsia="仿宋"/>
          <w:sz w:val="32"/>
          <w:szCs w:val="32"/>
        </w:rPr>
      </w:pPr>
      <w:r>
        <w:rPr>
          <w:rFonts w:hint="eastAsia" w:ascii="仿宋" w:hAnsi="仿宋" w:eastAsia="仿宋"/>
          <w:sz w:val="32"/>
          <w:szCs w:val="32"/>
        </w:rPr>
        <w:t>(三）负责促进全县就业工作，拟订统筹城乡的就业发展规划和政策并组织实施，完善公共就业创业服务体系，拟订就业援助制度，牵头拟订高校毕业生就业政策。统筹落实国家和自治区及市委、市政府面和县委、县政府向城乡劳动者的职业技能培训制度。会同有关部门我订高技能人才，农村实用人才培养和激励政策。</w:t>
      </w:r>
    </w:p>
    <w:p>
      <w:pPr>
        <w:ind w:firstLine="640" w:firstLineChars="200"/>
        <w:rPr>
          <w:rFonts w:hint="eastAsia" w:ascii="仿宋" w:hAnsi="仿宋" w:eastAsia="仿宋"/>
          <w:sz w:val="32"/>
          <w:szCs w:val="32"/>
        </w:rPr>
      </w:pPr>
      <w:r>
        <w:rPr>
          <w:rFonts w:hint="eastAsia" w:ascii="仿宋" w:hAnsi="仿宋" w:eastAsia="仿宋"/>
          <w:sz w:val="32"/>
          <w:szCs w:val="32"/>
        </w:rPr>
        <w:t>(四)统筹推进建立覆盖城乡的多层次社会保障体系，贾彻国家、自治区养老、失业、工伤等社会保险及其补充保险政策和标准，经办参保人员社会保险关系转移接续。拟订养老、失业工伤等社会保险及其补充保险基金管理和监督制度并组织实施，编制相关社会保险基金预决算报表，贯彻国家、自洽区相关社会保障基金投资运营政策，会同有关部门实施全民参保计划并建立社会保险公共服务平合，组织实施国家、自治区基本养老保险待遇领取人员跨省安置政策。</w:t>
      </w:r>
    </w:p>
    <w:p>
      <w:pPr>
        <w:ind w:firstLine="640" w:firstLineChars="200"/>
        <w:rPr>
          <w:rFonts w:hint="eastAsia" w:ascii="仿宋" w:hAnsi="仿宋" w:eastAsia="仿宋"/>
          <w:sz w:val="32"/>
          <w:szCs w:val="32"/>
        </w:rPr>
      </w:pPr>
      <w:r>
        <w:rPr>
          <w:rFonts w:hint="eastAsia" w:ascii="仿宋" w:hAnsi="仿宋" w:eastAsia="仿宋"/>
          <w:sz w:val="32"/>
          <w:szCs w:val="32"/>
        </w:rPr>
        <w:t>(五)负责就业、失业和相关社会保险基金预测预警和信息引导，拟订应对预案，实施预防、调节和控制，保持就业形势稳定和相关社会保险基金总体收支平衡。</w:t>
      </w:r>
    </w:p>
    <w:p>
      <w:pPr>
        <w:ind w:firstLine="640" w:firstLineChars="200"/>
        <w:rPr>
          <w:rFonts w:hint="eastAsia" w:ascii="仿宋" w:hAnsi="仿宋" w:eastAsia="仿宋"/>
          <w:sz w:val="32"/>
          <w:szCs w:val="32"/>
        </w:rPr>
      </w:pPr>
      <w:r>
        <w:rPr>
          <w:rFonts w:hint="eastAsia" w:ascii="仿宋" w:hAnsi="仿宋" w:eastAsia="仿宋"/>
          <w:sz w:val="32"/>
          <w:szCs w:val="32"/>
        </w:rPr>
        <w:t>(六)监督实施劳动人事争议调解仲裁制度和劳动关系政策。完善劳动关系协调机制。监督实施职工工作时间、休息休假和假期制度，监督实施消除非法使用童工政策和女工、未成年工的特殊劳动保护政策。组织实施劳动保障监察，协调劳动者维权工作，依法查处重大案件。指导监督各县（区）劳动保障监察工作。</w:t>
      </w:r>
    </w:p>
    <w:p>
      <w:pPr>
        <w:ind w:firstLine="640" w:firstLineChars="200"/>
        <w:rPr>
          <w:rFonts w:hint="eastAsia" w:ascii="仿宋" w:hAnsi="仿宋" w:eastAsia="仿宋"/>
          <w:sz w:val="32"/>
          <w:szCs w:val="32"/>
        </w:rPr>
      </w:pPr>
      <w:r>
        <w:rPr>
          <w:rFonts w:hint="eastAsia" w:ascii="仿宋" w:hAnsi="仿宋" w:eastAsia="仿宋"/>
          <w:sz w:val="32"/>
          <w:szCs w:val="32"/>
        </w:rPr>
        <w:t>(七)牵头推进深化职称制度改革，贾彻专业技术人员管理、继续教育和博士后管理等政策，负责高层次专业技术人才选拔和培养工作，拟订并组织实施吸引留学人员来华（回国）工作或定居管理工作政策，我订技能人才培养、评价、使用和激励制度。完善职业资格制度，健全职业技能多元化评价政策。</w:t>
      </w:r>
    </w:p>
    <w:p>
      <w:pPr>
        <w:ind w:firstLine="640" w:firstLineChars="200"/>
        <w:rPr>
          <w:rFonts w:hint="eastAsia" w:ascii="仿宋" w:hAnsi="仿宋" w:eastAsia="仿宋"/>
          <w:sz w:val="32"/>
          <w:szCs w:val="32"/>
        </w:rPr>
      </w:pPr>
      <w:r>
        <w:rPr>
          <w:rFonts w:hint="eastAsia" w:ascii="仿宋" w:hAnsi="仿宋" w:eastAsia="仿宋"/>
          <w:sz w:val="32"/>
          <w:szCs w:val="32"/>
        </w:rPr>
        <w:t>(八)会同有关部门指导事业单位人事制度改革，按照管理权限拟订事业单位岗位设置，公开招聘、聘用管理等人事综合管理政策并组织实施，我订事业单位人员和机关工勤人员管理政策并组织实施。</w:t>
      </w:r>
    </w:p>
    <w:p>
      <w:pPr>
        <w:ind w:firstLine="640" w:firstLineChars="200"/>
        <w:rPr>
          <w:rFonts w:hint="eastAsia" w:ascii="仿宋" w:hAnsi="仿宋" w:eastAsia="仿宋"/>
          <w:sz w:val="32"/>
          <w:szCs w:val="32"/>
        </w:rPr>
      </w:pPr>
      <w:r>
        <w:rPr>
          <w:rFonts w:hint="eastAsia" w:ascii="仿宋" w:hAnsi="仿宋" w:eastAsia="仿宋"/>
          <w:sz w:val="32"/>
          <w:szCs w:val="32"/>
        </w:rPr>
        <w:t>(九）贯彻自治区表彰奖励办法，综合管理表彰奖励工作，承担县级评比达标表彰工作，根据授权，承办以县委、县政府名义开展的全市表彰奖勋活动的申投备案工作。</w:t>
      </w:r>
    </w:p>
    <w:p>
      <w:pPr>
        <w:ind w:firstLine="640" w:firstLineChars="200"/>
        <w:rPr>
          <w:rFonts w:hint="eastAsia" w:ascii="仿宋" w:hAnsi="仿宋" w:eastAsia="仿宋"/>
          <w:sz w:val="32"/>
          <w:szCs w:val="32"/>
        </w:rPr>
      </w:pPr>
      <w:r>
        <w:rPr>
          <w:rFonts w:hint="eastAsia" w:ascii="仿宋" w:hAnsi="仿宋" w:eastAsia="仿宋"/>
          <w:sz w:val="32"/>
          <w:szCs w:val="32"/>
        </w:rPr>
        <w:t>(十)会同有关部门贯彻执行事业单位人员工资收入分配政策，落实企事业单位人员工资决定、正常增长和支付保障机制。执行企事业单位人员福利和离退休政策。</w:t>
      </w:r>
    </w:p>
    <w:p>
      <w:pPr>
        <w:ind w:firstLine="640" w:firstLineChars="200"/>
        <w:rPr>
          <w:rFonts w:hint="eastAsia" w:ascii="仿宋" w:hAnsi="仿宋" w:eastAsia="仿宋"/>
          <w:sz w:val="32"/>
          <w:szCs w:val="32"/>
        </w:rPr>
      </w:pPr>
      <w:r>
        <w:rPr>
          <w:rFonts w:hint="eastAsia" w:ascii="仿宋" w:hAnsi="仿宋" w:eastAsia="仿宋"/>
          <w:sz w:val="32"/>
          <w:szCs w:val="32"/>
        </w:rPr>
        <w:t>(十一)会同有关部门我订农牧民工工作的综合性政策和规划，推动相关政策落实，协调解决重点难点问题，维护农民工合法权益。</w:t>
      </w:r>
    </w:p>
    <w:p>
      <w:pPr>
        <w:ind w:firstLine="640" w:firstLineChars="200"/>
        <w:rPr>
          <w:rFonts w:hint="eastAsia" w:ascii="仿宋" w:hAnsi="仿宋" w:eastAsia="仿宋"/>
          <w:sz w:val="32"/>
          <w:szCs w:val="32"/>
        </w:rPr>
      </w:pPr>
      <w:r>
        <w:rPr>
          <w:rFonts w:hint="eastAsia" w:ascii="仿宋" w:hAnsi="仿宋" w:eastAsia="仿宋"/>
          <w:sz w:val="32"/>
          <w:szCs w:val="32"/>
        </w:rPr>
        <w:t>(十二）负责本行业领域安全生产监管和应急处置工作。</w:t>
      </w:r>
    </w:p>
    <w:p>
      <w:pPr>
        <w:ind w:firstLine="640" w:firstLineChars="200"/>
        <w:rPr>
          <w:rFonts w:hint="eastAsia" w:ascii="仿宋" w:hAnsi="仿宋" w:eastAsia="仿宋"/>
          <w:sz w:val="32"/>
          <w:szCs w:val="32"/>
        </w:rPr>
      </w:pPr>
      <w:r>
        <w:rPr>
          <w:rFonts w:hint="eastAsia" w:ascii="仿宋" w:hAnsi="仿宋" w:eastAsia="仿宋"/>
          <w:sz w:val="32"/>
          <w:szCs w:val="32"/>
        </w:rPr>
        <w:t>（十三）完成县委和县政府交办的其他任务。</w:t>
      </w:r>
    </w:p>
    <w:p>
      <w:pPr>
        <w:ind w:firstLine="640" w:firstLineChars="200"/>
        <w:rPr>
          <w:rFonts w:hint="eastAsia" w:ascii="仿宋" w:hAnsi="仿宋" w:eastAsia="仿宋"/>
          <w:sz w:val="32"/>
          <w:szCs w:val="32"/>
        </w:rPr>
      </w:pPr>
      <w:r>
        <w:rPr>
          <w:rFonts w:hint="eastAsia" w:ascii="仿宋" w:hAnsi="仿宋" w:eastAsia="仿宋"/>
          <w:sz w:val="32"/>
          <w:szCs w:val="32"/>
        </w:rPr>
        <w:t>(十四）职能转变。深入推进简政放权、放管结合、优化服务改革，进一步减少行政审批事项，规范和优化对外办理事项，滅少职业资格许可和认定等审批事项，实行国家职业资格目录清单管理，加强事中事后监管，创新就业和社会保障等公共服务方武，加强信息共享，提高公共服务水平。</w:t>
      </w:r>
    </w:p>
    <w:p>
      <w:pPr>
        <w:ind w:firstLine="640" w:firstLineChars="200"/>
        <w:rPr>
          <w:rFonts w:hint="eastAsia" w:ascii="仿宋" w:hAnsi="仿宋" w:eastAsia="仿宋"/>
          <w:sz w:val="32"/>
          <w:szCs w:val="32"/>
        </w:rPr>
      </w:pPr>
      <w:r>
        <w:rPr>
          <w:rFonts w:hint="eastAsia" w:ascii="仿宋" w:hAnsi="仿宋" w:eastAsia="仿宋"/>
          <w:sz w:val="32"/>
          <w:szCs w:val="32"/>
        </w:rPr>
        <w:t>(十五）与县教育局的有关职责分工。县人力资源和社会保障局牵头，会同县教育局等部门拟订高校毕业生就业政策。县人力资源和社会保障局负责高校毕业生离校后的就业指导和服务工作。县教育局货责高校毕业生离校前的就业指导和服务工作。</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个二级预算单位。纳入本部门2022年部门预算编制范围的二级预算单位包括：</w:t>
      </w:r>
      <w:r>
        <w:rPr>
          <w:rFonts w:hint="eastAsia" w:ascii="仿宋" w:hAnsi="仿宋" w:eastAsia="仿宋"/>
          <w:sz w:val="32"/>
          <w:szCs w:val="32"/>
          <w:lang w:eastAsia="zh-CN"/>
        </w:rPr>
        <w:t>无</w:t>
      </w:r>
    </w:p>
    <w:p>
      <w:pPr>
        <w:ind w:firstLine="3520" w:firstLineChars="1100"/>
        <w:jc w:val="both"/>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西藏嘉黎县</w:t>
      </w:r>
      <w:r>
        <w:rPr>
          <w:rFonts w:hint="eastAsia" w:ascii="方正小标宋简体" w:hAnsi="仿宋" w:eastAsia="方正小标宋简体"/>
          <w:sz w:val="32"/>
          <w:szCs w:val="32"/>
          <w:lang w:val="en-US" w:eastAsia="zh-CN"/>
        </w:rPr>
        <w:t>人力资源和社会保障局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人力资源和社会保障局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例如：202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u w:val="single"/>
          <w:lang w:val="en-US" w:eastAsia="zh-CN"/>
        </w:rPr>
        <w:t>2346.81</w:t>
      </w:r>
      <w:r>
        <w:rPr>
          <w:rFonts w:hint="eastAsia" w:ascii="仿宋" w:hAnsi="仿宋" w:eastAsia="仿宋"/>
          <w:sz w:val="32"/>
          <w:szCs w:val="32"/>
        </w:rPr>
        <w:t xml:space="preserve"> 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2346.81</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313.83</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13.4</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2032.98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86.6</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2346.81</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1500.68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62.96</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846.13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36.04</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2346.81</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1500.68</w:t>
      </w:r>
      <w:r>
        <w:rPr>
          <w:rFonts w:hint="eastAsia" w:ascii="仿宋" w:hAnsi="仿宋" w:eastAsia="仿宋"/>
          <w:sz w:val="32"/>
          <w:szCs w:val="32"/>
          <w:lang w:val="en-US" w:eastAsia="zh-CN"/>
        </w:rPr>
        <w:t>万元</w:t>
      </w:r>
      <w:r>
        <w:rPr>
          <w:rFonts w:hint="eastAsia" w:ascii="仿宋" w:hAnsi="仿宋" w:eastAsia="仿宋"/>
          <w:sz w:val="32"/>
          <w:szCs w:val="32"/>
        </w:rPr>
        <w:t>，包括：一般公共预算当年拨款收入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1500.68</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313.83</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3.07</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2252.21</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15.87</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60万元、</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15.66</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2346.81</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502.06</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val="en-US" w:eastAsia="zh-CN"/>
        </w:rPr>
        <w:t>单位职工及其他人员（人社专职人员）工资及五大保险基数同比上年变动较大。</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3.07</w:t>
      </w:r>
      <w:r>
        <w:rPr>
          <w:rFonts w:hint="eastAsia" w:ascii="仿宋" w:hAnsi="仿宋" w:eastAsia="仿宋"/>
          <w:sz w:val="32"/>
          <w:szCs w:val="32"/>
        </w:rPr>
        <w:t>万元、占</w:t>
      </w:r>
      <w:r>
        <w:rPr>
          <w:rFonts w:hint="eastAsia" w:ascii="仿宋" w:hAnsi="仿宋" w:eastAsia="仿宋"/>
          <w:sz w:val="32"/>
          <w:szCs w:val="32"/>
          <w:u w:val="single"/>
          <w:lang w:val="en-US" w:eastAsia="zh-CN"/>
        </w:rPr>
        <w:t>0.13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2252.21</w:t>
      </w:r>
      <w:r>
        <w:rPr>
          <w:rFonts w:hint="eastAsia" w:ascii="仿宋" w:hAnsi="仿宋" w:eastAsia="仿宋"/>
          <w:sz w:val="32"/>
          <w:szCs w:val="32"/>
        </w:rPr>
        <w:t>万元、占</w:t>
      </w:r>
      <w:r>
        <w:rPr>
          <w:rFonts w:hint="eastAsia" w:ascii="仿宋" w:hAnsi="仿宋" w:eastAsia="仿宋"/>
          <w:sz w:val="32"/>
          <w:szCs w:val="32"/>
          <w:u w:val="single"/>
          <w:lang w:val="en-US" w:eastAsia="zh-CN"/>
        </w:rPr>
        <w:t>95.97</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15.87</w:t>
      </w:r>
      <w:r>
        <w:rPr>
          <w:rFonts w:hint="eastAsia" w:ascii="仿宋" w:hAnsi="仿宋" w:eastAsia="仿宋"/>
          <w:sz w:val="32"/>
          <w:szCs w:val="32"/>
        </w:rPr>
        <w:t>万元、占</w:t>
      </w:r>
      <w:r>
        <w:rPr>
          <w:rFonts w:hint="eastAsia" w:ascii="仿宋" w:hAnsi="仿宋" w:eastAsia="仿宋"/>
          <w:sz w:val="32"/>
          <w:szCs w:val="32"/>
          <w:u w:val="single"/>
          <w:lang w:val="en-US" w:eastAsia="zh-CN"/>
        </w:rPr>
        <w:t>0.68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60万元、</w:t>
      </w:r>
      <w:r>
        <w:rPr>
          <w:rFonts w:hint="eastAsia" w:ascii="仿宋" w:hAnsi="仿宋" w:eastAsia="仿宋"/>
          <w:sz w:val="32"/>
          <w:szCs w:val="32"/>
        </w:rPr>
        <w:t>占</w:t>
      </w:r>
      <w:r>
        <w:rPr>
          <w:rFonts w:hint="eastAsia" w:ascii="仿宋" w:hAnsi="仿宋" w:eastAsia="仿宋"/>
          <w:sz w:val="32"/>
          <w:szCs w:val="32"/>
          <w:u w:val="single"/>
          <w:lang w:val="en-US" w:eastAsia="zh-CN"/>
        </w:rPr>
        <w:t>2.56</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0.66</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default" w:ascii="仿宋" w:hAnsi="仿宋" w:eastAsia="仿宋"/>
          <w:sz w:val="32"/>
          <w:szCs w:val="32"/>
          <w:lang w:val="en-US"/>
        </w:rPr>
      </w:pPr>
      <w:r>
        <w:rPr>
          <w:rFonts w:hint="eastAsia" w:ascii="仿宋" w:hAnsi="仿宋" w:eastAsia="仿宋"/>
          <w:sz w:val="32"/>
          <w:szCs w:val="32"/>
        </w:rPr>
        <w:t>1.一般公共服务支出（类）财政事务（款）行政运行（项）202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lang w:val="en-US" w:eastAsia="zh-CN"/>
        </w:rPr>
        <w:t>1500.68</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279.72</w:t>
      </w:r>
      <w:r>
        <w:rPr>
          <w:rFonts w:hint="eastAsia" w:ascii="仿宋" w:hAnsi="仿宋" w:eastAsia="仿宋"/>
          <w:sz w:val="32"/>
          <w:szCs w:val="32"/>
        </w:rPr>
        <w:t>万元，</w:t>
      </w:r>
      <w:r>
        <w:rPr>
          <w:rFonts w:hint="eastAsia" w:ascii="仿宋" w:hAnsi="仿宋" w:eastAsia="仿宋"/>
          <w:sz w:val="32"/>
          <w:szCs w:val="32"/>
          <w:lang w:val="en-US" w:eastAsia="zh-CN"/>
        </w:rPr>
        <w:t>上涨</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22.91</w:t>
      </w:r>
      <w:r>
        <w:rPr>
          <w:rFonts w:hint="eastAsia" w:ascii="仿宋" w:hAnsi="仿宋" w:eastAsia="仿宋"/>
          <w:sz w:val="32"/>
          <w:szCs w:val="32"/>
        </w:rPr>
        <w:t>%。</w:t>
      </w:r>
      <w:r>
        <w:rPr>
          <w:rFonts w:hint="eastAsia" w:ascii="仿宋" w:hAnsi="仿宋" w:eastAsia="仿宋"/>
          <w:sz w:val="32"/>
          <w:szCs w:val="32"/>
          <w:lang w:val="en-US" w:eastAsia="zh-CN"/>
        </w:rPr>
        <w:t>根据上级文件要求，单位工会经费2023年开始预算至各单位。</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u w:val="single"/>
          <w:lang w:val="en-US" w:eastAsia="zh-CN"/>
        </w:rPr>
        <w:t>846.13</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 w:hAnsi="仿宋" w:eastAsia="仿宋"/>
          <w:sz w:val="32"/>
          <w:szCs w:val="32"/>
          <w:u w:val="single"/>
          <w:lang w:val="en-US" w:eastAsia="zh-CN"/>
        </w:rPr>
        <w:t>91.9</w:t>
      </w:r>
      <w:r>
        <w:rPr>
          <w:rFonts w:hint="eastAsia" w:ascii="仿宋" w:hAnsi="仿宋" w:eastAsia="仿宋"/>
          <w:sz w:val="32"/>
          <w:szCs w:val="32"/>
        </w:rPr>
        <w:t>万元，下降</w:t>
      </w:r>
      <w:r>
        <w:rPr>
          <w:rFonts w:hint="eastAsia" w:ascii="仿宋" w:hAnsi="仿宋" w:eastAsia="仿宋"/>
          <w:sz w:val="32"/>
          <w:szCs w:val="32"/>
          <w:u w:val="single"/>
          <w:lang w:val="en-US" w:eastAsia="zh-CN"/>
        </w:rPr>
        <w:t>9.8</w:t>
      </w:r>
      <w:r>
        <w:rPr>
          <w:rFonts w:hint="eastAsia" w:ascii="仿宋" w:hAnsi="仿宋" w:eastAsia="仿宋"/>
          <w:sz w:val="32"/>
          <w:szCs w:val="32"/>
        </w:rPr>
        <w:t>%。主要是</w:t>
      </w:r>
      <w:r>
        <w:rPr>
          <w:rFonts w:hint="eastAsia" w:ascii="仿宋" w:hAnsi="仿宋" w:eastAsia="仿宋"/>
          <w:sz w:val="32"/>
          <w:szCs w:val="32"/>
          <w:lang w:eastAsia="zh-CN"/>
        </w:rPr>
        <w:t>项目资金减少</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1500.68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1485.01 </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15.67</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万元。202</w:t>
      </w:r>
      <w:r>
        <w:rPr>
          <w:rFonts w:hint="eastAsia" w:ascii="仿宋" w:hAnsi="仿宋" w:eastAsia="仿宋"/>
          <w:sz w:val="32"/>
          <w:szCs w:val="32"/>
          <w:lang w:val="en-US" w:eastAsia="zh-CN"/>
        </w:rPr>
        <w:t>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u w:val="single"/>
          <w:lang w:val="en-US" w:eastAsia="zh-CN"/>
        </w:rPr>
        <w:t>7</w:t>
      </w:r>
      <w:r>
        <w:rPr>
          <w:rFonts w:hint="eastAsia" w:ascii="仿宋" w:hAnsi="仿宋" w:eastAsia="仿宋"/>
          <w:sz w:val="32"/>
          <w:szCs w:val="32"/>
        </w:rPr>
        <w:t>万元，压缩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77.78</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eastAsia="zh-CN"/>
        </w:rPr>
        <w:t>三公经费逐年递减</w:t>
      </w:r>
      <w:r>
        <w:rPr>
          <w:rFonts w:hint="eastAsia" w:ascii="仿宋" w:hAnsi="仿宋" w:eastAsia="仿宋"/>
          <w:sz w:val="32"/>
          <w:szCs w:val="32"/>
          <w:u w:val="non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辆，国内公务接待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元，主要原因：</w:t>
      </w:r>
      <w:r>
        <w:rPr>
          <w:rFonts w:hint="eastAsia" w:ascii="仿宋" w:hAnsi="仿宋" w:eastAsia="仿宋"/>
          <w:sz w:val="32"/>
          <w:szCs w:val="32"/>
        </w:rPr>
        <w:t>我部门202</w:t>
      </w:r>
      <w:r>
        <w:rPr>
          <w:rFonts w:hint="eastAsia" w:ascii="仿宋" w:hAnsi="仿宋" w:eastAsia="仿宋"/>
          <w:sz w:val="32"/>
          <w:szCs w:val="32"/>
          <w:lang w:val="en-US" w:eastAsia="zh-CN"/>
        </w:rPr>
        <w:t>3</w:t>
      </w:r>
      <w:r>
        <w:rPr>
          <w:rFonts w:hint="eastAsia" w:ascii="仿宋" w:hAnsi="仿宋" w:eastAsia="仿宋"/>
          <w:sz w:val="32"/>
          <w:szCs w:val="32"/>
        </w:rPr>
        <w:t>年度没有使用政府性基金安排的支出</w:t>
      </w:r>
      <w:r>
        <w:rPr>
          <w:rFonts w:hint="eastAsia" w:ascii="仿宋" w:hAnsi="仿宋" w:eastAsia="仿宋"/>
          <w:sz w:val="32"/>
          <w:szCs w:val="32"/>
          <w:lang w:eastAsia="zh-CN"/>
        </w:rPr>
        <w:t>。</w:t>
      </w:r>
      <w:r>
        <w:rPr>
          <w:rFonts w:hint="eastAsia" w:ascii="仿宋" w:hAnsi="仿宋" w:eastAsia="仿宋"/>
          <w:sz w:val="32"/>
          <w:szCs w:val="32"/>
        </w:rPr>
        <w:t>（没有数据的表格应当列出空表并说明“我部门202</w:t>
      </w:r>
      <w:r>
        <w:rPr>
          <w:rFonts w:hint="eastAsia" w:ascii="仿宋" w:hAnsi="仿宋" w:eastAsia="仿宋"/>
          <w:sz w:val="32"/>
          <w:szCs w:val="32"/>
          <w:lang w:val="en-US" w:eastAsia="zh-CN"/>
        </w:rPr>
        <w:t>3</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年部门本级</w:t>
      </w:r>
      <w:r>
        <w:rPr>
          <w:rFonts w:hint="eastAsia" w:ascii="仿宋" w:hAnsi="仿宋" w:eastAsia="仿宋"/>
          <w:sz w:val="32"/>
          <w:szCs w:val="32"/>
          <w:lang w:val="en-US" w:eastAsia="zh-CN"/>
        </w:rPr>
        <w:t>人力资源和社会保障</w:t>
      </w:r>
      <w:r>
        <w:rPr>
          <w:rFonts w:hint="eastAsia" w:ascii="仿宋" w:hAnsi="仿宋" w:eastAsia="仿宋"/>
          <w:sz w:val="32"/>
          <w:szCs w:val="32"/>
        </w:rPr>
        <w:t>局</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15.67</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3.07</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24.37</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10 </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1042.3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1042.3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其他就业补助资金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numId w:val="0"/>
        </w:numPr>
        <w:rPr>
          <w:rFonts w:hint="eastAsia" w:ascii="楷体" w:hAnsi="楷体" w:eastAsia="楷体"/>
          <w:sz w:val="32"/>
          <w:szCs w:val="32"/>
          <w:lang w:eastAsia="zh-CN"/>
        </w:rPr>
      </w:pPr>
      <w:r>
        <w:rPr>
          <w:rFonts w:hint="eastAsia" w:ascii="楷体" w:hAnsi="楷体" w:eastAsia="楷体"/>
          <w:sz w:val="32"/>
          <w:szCs w:val="32"/>
          <w:lang w:eastAsia="zh-CN"/>
        </w:rPr>
        <w:t>我局无扶贫资金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我局无政府债务。</w:t>
      </w: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7132263">
    <w:nsid w:val="63F701E7"/>
    <w:multiLevelType w:val="singleLevel"/>
    <w:tmpl w:val="63F701E7"/>
    <w:lvl w:ilvl="0" w:tentative="1">
      <w:start w:val="5"/>
      <w:numFmt w:val="chineseCounting"/>
      <w:suff w:val="nothing"/>
      <w:lvlText w:val="（%1）"/>
      <w:lvlJc w:val="left"/>
    </w:lvl>
  </w:abstractNum>
  <w:num w:numId="1">
    <w:abstractNumId w:val="1677132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F486821"/>
    <w:rsid w:val="163A2906"/>
    <w:rsid w:val="194634C4"/>
    <w:rsid w:val="19730E4F"/>
    <w:rsid w:val="1DF8539E"/>
    <w:rsid w:val="24151FA6"/>
    <w:rsid w:val="2E8B35D2"/>
    <w:rsid w:val="32985427"/>
    <w:rsid w:val="3605272D"/>
    <w:rsid w:val="381E081F"/>
    <w:rsid w:val="3BD244B2"/>
    <w:rsid w:val="3C3376DF"/>
    <w:rsid w:val="3EE65CBF"/>
    <w:rsid w:val="43BD29AF"/>
    <w:rsid w:val="446247C1"/>
    <w:rsid w:val="4CFE2780"/>
    <w:rsid w:val="4EE86F73"/>
    <w:rsid w:val="52611934"/>
    <w:rsid w:val="59250374"/>
    <w:rsid w:val="5D695B4F"/>
    <w:rsid w:val="607A0954"/>
    <w:rsid w:val="63B55C23"/>
    <w:rsid w:val="66A63D78"/>
    <w:rsid w:val="66FB6D80"/>
    <w:rsid w:val="71B90522"/>
    <w:rsid w:val="7B66631E"/>
    <w:rsid w:val="7F0C0DF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0</TotalTime>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2023-02-23T06:00:57Z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1D8A3F6447DE437DAE9DFCB869542043</vt:lpwstr>
  </property>
</Properties>
</file>