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西藏那曲嘉黎县住房和城乡建设局2024年度部门预算公开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44"/>
          <w:szCs w:val="44"/>
        </w:rPr>
      </w:pPr>
      <w:r>
        <w:rPr>
          <w:rFonts w:hint="eastAsia" w:ascii="仿宋" w:hAnsi="仿宋" w:eastAsia="仿宋"/>
          <w:sz w:val="44"/>
          <w:szCs w:val="44"/>
        </w:rPr>
        <w:t xml:space="preserve">    2024年01月31日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r>
        <w:rPr>
          <w:rFonts w:hint="eastAsia" w:ascii="方正小标宋简体" w:hAnsi="仿宋" w:eastAsia="方正小标宋简体"/>
          <w:sz w:val="32"/>
          <w:szCs w:val="32"/>
        </w:rPr>
        <w:t xml:space="preserve">第一部分 </w:t>
      </w:r>
      <w:r>
        <w:rPr>
          <w:rFonts w:hint="eastAsia" w:ascii="黑体" w:hAnsi="黑体" w:eastAsia="黑体"/>
          <w:sz w:val="32"/>
          <w:szCs w:val="32"/>
        </w:rPr>
        <w:t>嘉黎县住房和城乡建设局概况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黑体" w:hAnsi="黑体" w:eastAsia="黑体"/>
          <w:sz w:val="32"/>
          <w:szCs w:val="32"/>
        </w:rPr>
        <w:t>嘉黎县住房和城乡建设局</w:t>
      </w:r>
      <w:r>
        <w:rPr>
          <w:rFonts w:hint="eastAsia" w:ascii="方正小标宋简体" w:hAnsi="仿宋" w:eastAsia="方正小标宋简体"/>
          <w:sz w:val="32"/>
          <w:szCs w:val="32"/>
        </w:rPr>
        <w:t>2024年度部门预算明细表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黑体" w:hAnsi="黑体" w:eastAsia="黑体"/>
          <w:sz w:val="32"/>
          <w:szCs w:val="32"/>
        </w:rPr>
        <w:t>嘉黎县住房和城乡建设局</w:t>
      </w:r>
      <w:r>
        <w:rPr>
          <w:rFonts w:hint="eastAsia" w:ascii="方正小标宋简体" w:hAnsi="仿宋" w:eastAsia="方正小标宋简体"/>
          <w:sz w:val="32"/>
          <w:szCs w:val="32"/>
        </w:rPr>
        <w:t>2024年度部门预算数据分析</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八、政府性基金预算支出情况表</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黑体" w:hAnsi="黑体" w:eastAsia="黑体"/>
          <w:sz w:val="32"/>
          <w:szCs w:val="32"/>
        </w:rPr>
      </w:pPr>
      <w:r>
        <w:rPr>
          <w:rFonts w:hint="eastAsia" w:ascii="黑体" w:hAnsi="黑体" w:eastAsia="黑体"/>
          <w:sz w:val="32"/>
          <w:szCs w:val="32"/>
        </w:rPr>
        <w:t xml:space="preserve">  </w:t>
      </w:r>
      <w:r>
        <w:rPr>
          <w:rFonts w:hint="eastAsia" w:ascii="方正小标宋简体" w:hAnsi="仿宋" w:eastAsia="方正小标宋简体"/>
          <w:sz w:val="32"/>
          <w:szCs w:val="32"/>
        </w:rPr>
        <w:t>第四部分  名词解释</w:t>
      </w:r>
    </w:p>
    <w:p>
      <w:pPr>
        <w:rPr>
          <w:rFonts w:ascii="黑体" w:hAnsi="黑体" w:eastAsia="黑体"/>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 第一部分  嘉黎县住房和城乡建设局概况</w:t>
      </w: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主要职能</w:t>
      </w:r>
    </w:p>
    <w:p>
      <w:pPr>
        <w:pStyle w:val="11"/>
        <w:ind w:firstLine="0" w:firstLineChars="0"/>
        <w:rPr>
          <w:sz w:val="32"/>
          <w:szCs w:val="32"/>
        </w:rPr>
      </w:pPr>
      <w:r>
        <w:rPr>
          <w:rFonts w:hint="eastAsia"/>
          <w:sz w:val="32"/>
          <w:szCs w:val="32"/>
        </w:rPr>
        <w:t xml:space="preserve">    1.</w:t>
      </w:r>
      <w:r>
        <w:rPr>
          <w:sz w:val="32"/>
          <w:szCs w:val="32"/>
        </w:rPr>
        <w:t>贯彻执行住房和城乡建设相关法规</w:t>
      </w:r>
      <w:r>
        <w:rPr>
          <w:rFonts w:hint="eastAsia"/>
          <w:sz w:val="32"/>
          <w:szCs w:val="32"/>
        </w:rPr>
        <w:t>: 贯彻执行住房和城乡建设相关法规和规范性文件，参与起草住房和城乡建设相关地方性法规草案和政府规章草案、提出政策建议。</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2.负责城镇中低收入家庭住房保障工作:拟定相关政策并实施、制定全县范围发展规划、制定住房年度计划。</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3.负责推进住房制度改革:拟定全县住房政策、指导制度改革、建设规划并实施、指导监督全县公有房屋管理工作。</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4.建立科学规范的工程建设标准体系：拟定建设项目可行性研究方法、经济参数、建设标准和工程造价的管理指导，指导监督各类工程建设标准定额的实施和工程造价计价，监督之下广告位服务设施建设标准。</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5.负责全县人民防空工作：组织编制城市综合防护建设发展、人民防空建设、城市地下空间开发利用和重要目标防护建设。</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6.负责全县建筑工程质量安全监督管理工作：负责行业质量管理工作，拟定全县建筑工程质量、建筑安全生产和竣工验收备案的地方性政策、规章制度并监督实施。拟定全县建筑业工程勘察设计咨询的地方性政策并实施房屋建筑和市政工作重大质量、安全事故调查处理。</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7.推进行业科技发展和建筑节能、指导全县减排工作：拟定行业科技发展规划和建筑节能的政策、规划并监督实施。</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8.发展全县住房公积金监督管理：参与拟定全县住房公积金政策、发展规划并组织实施，制度住房公积金缴存、使用和监督制度，使用和安全、管理信息系统。</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9.全县重点（镇）的建设：拟定全县村镇建设发展规划、政策、技术标准并监督实施。农牧区住房建设和安全及危房改造。</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10.负责行业人才工作：制定行业人才培训规划。</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11.房地产监督管理工作：制定房地产业的行业发展规划和成员政策，房屋交易和租赁。</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12.建筑市场监督管理工作:指导全县建筑活动、指导监督建筑市场准入和房屋、市政工程项目招投标活动。</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13.指导城市建设:拟定城市建设的政策、规划并指导实施，指导全县建设工程防火减灾的综合管理，指导城镇污水处理设施、垃圾处理设施及配套工程的建设管理。</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14.全县城市（镇）管理:政策研究、业务指导、组织协调、监督检查和考核评价改造。</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15.完成县委，县政府交办的其他任务：完成县委，县政府交办的其他任务。</w:t>
      </w:r>
    </w:p>
    <w:p>
      <w:pPr>
        <w:pStyle w:val="11"/>
        <w:ind w:firstLine="640"/>
        <w:rPr>
          <w:rFonts w:asciiTheme="majorEastAsia" w:hAnsiTheme="majorEastAsia" w:eastAsiaTheme="majorEastAsia"/>
          <w:sz w:val="32"/>
          <w:szCs w:val="32"/>
        </w:rPr>
      </w:pPr>
      <w:r>
        <w:rPr>
          <w:rFonts w:hint="eastAsia" w:asciiTheme="majorEastAsia" w:hAnsiTheme="majorEastAsia" w:eastAsiaTheme="majorEastAsia"/>
          <w:sz w:val="32"/>
          <w:szCs w:val="32"/>
        </w:rPr>
        <w:t>16.职能转变：进一步强化住房和城乡建设行业规划、发展、管理职责，强化行业生态保护职责、绿色建筑、促进城市居住环境改善。</w:t>
      </w: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部门内设0个机构,行政编制3名，领导职数3名（正科级1名，副科级2名）</w:t>
      </w:r>
    </w:p>
    <w:p>
      <w:pPr>
        <w:ind w:firstLine="640" w:firstLineChars="200"/>
        <w:rPr>
          <w:rFonts w:ascii="仿宋" w:hAnsi="仿宋" w:eastAsia="仿宋"/>
          <w:sz w:val="32"/>
          <w:szCs w:val="32"/>
        </w:rPr>
      </w:pPr>
      <w:r>
        <w:rPr>
          <w:rFonts w:hint="eastAsia" w:ascii="仿宋" w:hAnsi="仿宋" w:eastAsia="仿宋"/>
          <w:sz w:val="32"/>
          <w:szCs w:val="32"/>
        </w:rPr>
        <w:t>纳入本部门2024年部门预算编制范围的二级预算单位包括：无</w:t>
      </w: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r>
        <w:rPr>
          <w:rFonts w:hint="eastAsia" w:ascii="方正小标宋简体" w:hAnsi="仿宋" w:eastAsia="方正小标宋简体"/>
          <w:sz w:val="32"/>
          <w:szCs w:val="32"/>
        </w:rPr>
        <w:t>第二部分  嘉黎县住房和城乡建设局2024年度部门预算明细表（表格详见附件）</w:t>
      </w: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第三部分  嘉黎县住房和城乡建设局2024年度部门预算数据分析</w:t>
      </w:r>
    </w:p>
    <w:p>
      <w:pPr>
        <w:rPr>
          <w:rFonts w:ascii="黑体" w:hAnsi="黑体" w:eastAsia="黑体"/>
          <w:sz w:val="32"/>
          <w:szCs w:val="32"/>
        </w:rPr>
      </w:pPr>
      <w:r>
        <w:rPr>
          <w:rFonts w:hint="eastAsia" w:ascii="黑体" w:hAnsi="黑体" w:eastAsia="黑体"/>
          <w:sz w:val="32"/>
          <w:szCs w:val="32"/>
        </w:rPr>
        <w:t xml:space="preserve"> 一、2024年部门收支总表的说明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2024年收支总预算</w:t>
      </w:r>
      <w:r>
        <w:rPr>
          <w:rFonts w:ascii="仿宋" w:hAnsi="仿宋" w:eastAsia="仿宋"/>
          <w:sz w:val="32"/>
          <w:szCs w:val="32"/>
        </w:rPr>
        <w:t>551.47</w:t>
      </w:r>
      <w:r>
        <w:rPr>
          <w:rFonts w:hint="eastAsia" w:ascii="仿宋" w:hAnsi="仿宋" w:eastAsia="仿宋"/>
          <w:sz w:val="32"/>
          <w:szCs w:val="32"/>
        </w:rPr>
        <w:t>万元。收入包括：一般公共预算拨款收入、</w:t>
      </w:r>
      <w:r>
        <w:rPr>
          <w:rFonts w:hint="eastAsia" w:ascii="仿宋" w:hAnsi="仿宋" w:eastAsia="仿宋"/>
          <w:sz w:val="32"/>
          <w:szCs w:val="32"/>
          <w:lang w:eastAsia="zh-CN"/>
        </w:rPr>
        <w:t>政府性基金预算收入、</w:t>
      </w:r>
      <w:r>
        <w:rPr>
          <w:rFonts w:hint="eastAsia" w:ascii="仿宋" w:hAnsi="仿宋" w:eastAsia="仿宋"/>
          <w:sz w:val="32"/>
          <w:szCs w:val="32"/>
        </w:rPr>
        <w:t>上年结转；支出包括：一般公共服务支出、社会保障和就业支出、卫生健康支出、住房保障支出。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二、2024年度部门收入总表的说明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ascii="仿宋" w:hAnsi="仿宋" w:eastAsia="仿宋"/>
          <w:sz w:val="32"/>
          <w:szCs w:val="32"/>
        </w:rPr>
        <w:t>551.47</w:t>
      </w:r>
      <w:r>
        <w:rPr>
          <w:rFonts w:hint="eastAsia" w:ascii="仿宋" w:hAnsi="仿宋" w:eastAsia="仿宋"/>
          <w:sz w:val="32"/>
          <w:szCs w:val="32"/>
        </w:rPr>
        <w:t>万元，其中：上年结转4.92万元， 占0.</w:t>
      </w:r>
      <w:r>
        <w:rPr>
          <w:rFonts w:hint="eastAsia" w:ascii="仿宋" w:hAnsi="仿宋" w:eastAsia="仿宋"/>
          <w:sz w:val="32"/>
          <w:szCs w:val="32"/>
          <w:lang w:val="en-US" w:eastAsia="zh-CN"/>
        </w:rPr>
        <w:t>89</w:t>
      </w:r>
      <w:r>
        <w:rPr>
          <w:rFonts w:hint="eastAsia" w:ascii="仿宋" w:hAnsi="仿宋" w:eastAsia="仿宋"/>
          <w:sz w:val="32"/>
          <w:szCs w:val="32"/>
        </w:rPr>
        <w:t>%；一般公共预算拨款收入</w:t>
      </w:r>
      <w:r>
        <w:rPr>
          <w:rFonts w:hint="eastAsia" w:ascii="仿宋" w:hAnsi="仿宋" w:eastAsia="仿宋"/>
          <w:sz w:val="32"/>
          <w:szCs w:val="32"/>
          <w:lang w:val="en-US" w:eastAsia="zh-CN"/>
        </w:rPr>
        <w:t>522.05</w:t>
      </w:r>
      <w:r>
        <w:rPr>
          <w:rFonts w:hint="eastAsia" w:ascii="仿宋" w:hAnsi="仿宋" w:eastAsia="仿宋"/>
          <w:sz w:val="32"/>
          <w:szCs w:val="32"/>
        </w:rPr>
        <w:t>万元，占</w:t>
      </w:r>
      <w:r>
        <w:rPr>
          <w:rFonts w:hint="eastAsia" w:ascii="仿宋" w:hAnsi="仿宋" w:eastAsia="仿宋"/>
          <w:sz w:val="32"/>
          <w:szCs w:val="32"/>
          <w:lang w:val="en-US" w:eastAsia="zh-CN"/>
        </w:rPr>
        <w:t>94.67</w:t>
      </w:r>
      <w:r>
        <w:rPr>
          <w:rFonts w:hint="eastAsia" w:ascii="仿宋" w:hAnsi="仿宋" w:eastAsia="仿宋"/>
          <w:sz w:val="32"/>
          <w:szCs w:val="32"/>
        </w:rPr>
        <w:t>%</w:t>
      </w:r>
      <w:r>
        <w:rPr>
          <w:rFonts w:hint="eastAsia" w:ascii="仿宋" w:hAnsi="仿宋" w:eastAsia="仿宋"/>
          <w:sz w:val="32"/>
          <w:szCs w:val="32"/>
          <w:lang w:eastAsia="zh-CN"/>
        </w:rPr>
        <w:t>；政府性基金预算收入</w:t>
      </w:r>
      <w:r>
        <w:rPr>
          <w:rFonts w:hint="eastAsia" w:ascii="仿宋" w:hAnsi="仿宋" w:eastAsia="仿宋"/>
          <w:sz w:val="32"/>
          <w:szCs w:val="32"/>
          <w:lang w:val="en-US" w:eastAsia="zh-CN"/>
        </w:rPr>
        <w:t>24.50万元，占4.44%。</w:t>
      </w:r>
    </w:p>
    <w:p>
      <w:pPr>
        <w:rPr>
          <w:rFonts w:ascii="黑体" w:hAnsi="黑体" w:eastAsia="黑体"/>
          <w:sz w:val="32"/>
          <w:szCs w:val="32"/>
        </w:rPr>
      </w:pPr>
      <w:r>
        <w:rPr>
          <w:rFonts w:hint="eastAsia" w:ascii="黑体" w:hAnsi="黑体" w:eastAsia="黑体"/>
          <w:sz w:val="32"/>
          <w:szCs w:val="32"/>
        </w:rPr>
        <w:t>三、2024年部门支出总表的说明</w:t>
      </w:r>
    </w:p>
    <w:p>
      <w:pPr>
        <w:rPr>
          <w:rFonts w:ascii="仿宋" w:hAnsi="仿宋" w:eastAsia="仿宋"/>
          <w:sz w:val="32"/>
          <w:szCs w:val="32"/>
        </w:rPr>
      </w:pPr>
      <w:r>
        <w:rPr>
          <w:rFonts w:hint="eastAsia" w:ascii="仿宋" w:hAnsi="仿宋" w:eastAsia="仿宋"/>
          <w:sz w:val="32"/>
          <w:szCs w:val="32"/>
        </w:rPr>
        <w:t xml:space="preserve">   2024年支出预算551.47万元，其中：基本支出</w:t>
      </w:r>
      <w:r>
        <w:rPr>
          <w:rFonts w:ascii="仿宋" w:hAnsi="仿宋" w:eastAsia="仿宋"/>
          <w:sz w:val="32"/>
          <w:szCs w:val="32"/>
        </w:rPr>
        <w:t>2</w:t>
      </w:r>
      <w:r>
        <w:rPr>
          <w:rFonts w:hint="eastAsia" w:ascii="仿宋" w:hAnsi="仿宋" w:eastAsia="仿宋"/>
          <w:sz w:val="32"/>
          <w:szCs w:val="32"/>
        </w:rPr>
        <w:t>38.</w:t>
      </w:r>
      <w:r>
        <w:rPr>
          <w:rFonts w:hint="eastAsia" w:ascii="仿宋" w:hAnsi="仿宋" w:eastAsia="仿宋"/>
          <w:sz w:val="32"/>
          <w:szCs w:val="32"/>
          <w:lang w:val="en-US" w:eastAsia="zh-CN"/>
        </w:rPr>
        <w:t>29</w:t>
      </w:r>
      <w:r>
        <w:rPr>
          <w:rFonts w:hint="eastAsia" w:ascii="仿宋" w:hAnsi="仿宋" w:eastAsia="仿宋"/>
          <w:sz w:val="32"/>
          <w:szCs w:val="32"/>
        </w:rPr>
        <w:t>万元，占43%；项目支出313.1</w:t>
      </w:r>
      <w:r>
        <w:rPr>
          <w:rFonts w:hint="eastAsia" w:ascii="仿宋" w:hAnsi="仿宋" w:eastAsia="仿宋"/>
          <w:sz w:val="32"/>
          <w:szCs w:val="32"/>
          <w:lang w:val="en-US" w:eastAsia="zh-CN"/>
        </w:rPr>
        <w:t>8</w:t>
      </w:r>
      <w:r>
        <w:rPr>
          <w:rFonts w:hint="eastAsia" w:ascii="仿宋" w:hAnsi="仿宋" w:eastAsia="仿宋"/>
          <w:sz w:val="32"/>
          <w:szCs w:val="32"/>
        </w:rPr>
        <w:t>万元，占57%。</w:t>
      </w:r>
    </w:p>
    <w:p>
      <w:pPr>
        <w:rPr>
          <w:rFonts w:ascii="黑体" w:hAnsi="黑体" w:eastAsia="黑体"/>
          <w:sz w:val="32"/>
          <w:szCs w:val="32"/>
        </w:rPr>
      </w:pPr>
      <w:r>
        <w:rPr>
          <w:rFonts w:hint="eastAsia" w:ascii="黑体" w:hAnsi="黑体" w:eastAsia="黑体"/>
          <w:sz w:val="32"/>
          <w:szCs w:val="32"/>
        </w:rPr>
        <w:t>四、2024年财政拨款收支总表的说明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2024年财政拨款收入总预算551.47万元。包括：一般公共预算当年拨款收入</w:t>
      </w:r>
      <w:r>
        <w:rPr>
          <w:rFonts w:ascii="仿宋" w:hAnsi="仿宋" w:eastAsia="仿宋"/>
          <w:sz w:val="32"/>
          <w:szCs w:val="32"/>
        </w:rPr>
        <w:t>5</w:t>
      </w:r>
      <w:r>
        <w:rPr>
          <w:rFonts w:hint="eastAsia" w:ascii="仿宋" w:hAnsi="仿宋" w:eastAsia="仿宋"/>
          <w:sz w:val="32"/>
          <w:szCs w:val="32"/>
        </w:rPr>
        <w:t>22.05万元、上年结转4.92万</w:t>
      </w:r>
      <w:r>
        <w:rPr>
          <w:rFonts w:hint="eastAsia" w:ascii="仿宋" w:hAnsi="仿宋" w:eastAsia="仿宋"/>
          <w:sz w:val="32"/>
          <w:szCs w:val="32"/>
          <w:lang w:eastAsia="zh-CN"/>
        </w:rPr>
        <w:t>元，政府性基金预算收入</w:t>
      </w:r>
      <w:r>
        <w:rPr>
          <w:rFonts w:hint="eastAsia" w:ascii="仿宋" w:hAnsi="仿宋" w:eastAsia="仿宋"/>
          <w:sz w:val="32"/>
          <w:szCs w:val="32"/>
          <w:lang w:val="en-US" w:eastAsia="zh-CN"/>
        </w:rPr>
        <w:t>24.50万元</w:t>
      </w:r>
      <w:r>
        <w:rPr>
          <w:rFonts w:hint="eastAsia" w:ascii="仿宋" w:hAnsi="仿宋" w:eastAsia="仿宋"/>
          <w:sz w:val="32"/>
          <w:szCs w:val="32"/>
        </w:rPr>
        <w:t>；支出包括：一般公共服务支出2.9万元、其中：社会保障和就业支出23.79万元、卫生健康支出12.95万元、住房保障支出24.27万元、城乡社区支出227.44万元、债务付息支出260.11万元。</w:t>
      </w:r>
    </w:p>
    <w:p>
      <w:pPr>
        <w:rPr>
          <w:rFonts w:ascii="黑体" w:hAnsi="黑体" w:eastAsia="黑体"/>
          <w:sz w:val="32"/>
          <w:szCs w:val="32"/>
        </w:rPr>
      </w:pPr>
      <w:r>
        <w:rPr>
          <w:rFonts w:hint="eastAsia" w:ascii="黑体" w:hAnsi="黑体" w:eastAsia="黑体"/>
          <w:sz w:val="32"/>
          <w:szCs w:val="32"/>
        </w:rPr>
        <w:t xml:space="preserve"> 五、2024年一般公共预算支出表的说明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2024年一般公共预算当年拨款526.97万元,比2023年执行数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5976.81</w:t>
      </w:r>
      <w:r>
        <w:rPr>
          <w:rFonts w:hint="eastAsia" w:ascii="仿宋" w:hAnsi="仿宋" w:eastAsia="仿宋"/>
          <w:sz w:val="32"/>
          <w:szCs w:val="32"/>
        </w:rPr>
        <w:t>万元，主要原因：项目支出减少。</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一般公共服务支出2.9万元，占</w:t>
      </w:r>
      <w:r>
        <w:rPr>
          <w:rFonts w:hint="eastAsia" w:ascii="仿宋" w:hAnsi="仿宋" w:eastAsia="仿宋"/>
          <w:sz w:val="32"/>
          <w:szCs w:val="32"/>
          <w:lang w:val="en-US" w:eastAsia="zh-CN"/>
        </w:rPr>
        <w:t>0.55</w:t>
      </w:r>
      <w:r>
        <w:rPr>
          <w:rFonts w:hint="eastAsia" w:ascii="仿宋" w:hAnsi="仿宋" w:eastAsia="仿宋"/>
          <w:sz w:val="32"/>
          <w:szCs w:val="32"/>
        </w:rPr>
        <w:t>%；社会保障和就业支出23.79万元，占</w:t>
      </w:r>
      <w:r>
        <w:rPr>
          <w:rFonts w:hint="eastAsia" w:ascii="仿宋" w:hAnsi="仿宋" w:eastAsia="仿宋"/>
          <w:sz w:val="32"/>
          <w:szCs w:val="32"/>
          <w:lang w:val="en-US" w:eastAsia="zh-CN"/>
        </w:rPr>
        <w:t>4.51</w:t>
      </w:r>
      <w:r>
        <w:rPr>
          <w:rFonts w:hint="eastAsia" w:ascii="仿宋" w:hAnsi="仿宋" w:eastAsia="仿宋"/>
          <w:sz w:val="32"/>
          <w:szCs w:val="32"/>
        </w:rPr>
        <w:t>%；卫生健康支出12.95万元，占</w:t>
      </w:r>
      <w:r>
        <w:rPr>
          <w:rFonts w:hint="eastAsia" w:ascii="仿宋" w:hAnsi="仿宋" w:eastAsia="仿宋"/>
          <w:sz w:val="32"/>
          <w:szCs w:val="32"/>
          <w:lang w:val="en-US" w:eastAsia="zh-CN"/>
        </w:rPr>
        <w:t>2.46</w:t>
      </w:r>
      <w:r>
        <w:rPr>
          <w:rFonts w:hint="eastAsia" w:ascii="仿宋" w:hAnsi="仿宋" w:eastAsia="仿宋"/>
          <w:sz w:val="32"/>
          <w:szCs w:val="32"/>
        </w:rPr>
        <w:t>%；城乡社区支出202.94万元，占</w:t>
      </w:r>
      <w:r>
        <w:rPr>
          <w:rFonts w:hint="eastAsia" w:ascii="仿宋" w:hAnsi="仿宋" w:eastAsia="仿宋"/>
          <w:sz w:val="32"/>
          <w:szCs w:val="32"/>
          <w:lang w:val="en-US" w:eastAsia="zh-CN"/>
        </w:rPr>
        <w:t>38.51</w:t>
      </w:r>
      <w:r>
        <w:rPr>
          <w:rFonts w:hint="eastAsia" w:ascii="仿宋" w:hAnsi="仿宋" w:eastAsia="仿宋"/>
          <w:sz w:val="32"/>
          <w:szCs w:val="32"/>
        </w:rPr>
        <w:t>%；住房保障支出24.27万元，占</w:t>
      </w:r>
      <w:r>
        <w:rPr>
          <w:rFonts w:hint="eastAsia" w:ascii="仿宋" w:hAnsi="仿宋" w:eastAsia="仿宋"/>
          <w:sz w:val="32"/>
          <w:szCs w:val="32"/>
          <w:lang w:val="en-US" w:eastAsia="zh-CN"/>
        </w:rPr>
        <w:t>4.61</w:t>
      </w:r>
      <w:r>
        <w:rPr>
          <w:rFonts w:hint="eastAsia" w:ascii="仿宋" w:hAnsi="仿宋" w:eastAsia="仿宋"/>
          <w:sz w:val="32"/>
          <w:szCs w:val="32"/>
        </w:rPr>
        <w:t>%；债务付息支出260.11万元，占</w:t>
      </w:r>
      <w:r>
        <w:rPr>
          <w:rFonts w:hint="eastAsia" w:ascii="仿宋" w:hAnsi="仿宋" w:eastAsia="仿宋"/>
          <w:sz w:val="32"/>
          <w:szCs w:val="32"/>
          <w:lang w:val="en-US" w:eastAsia="zh-CN"/>
        </w:rPr>
        <w:t>49.36</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1.一般公共服务支出（类）财政事务（款）行政运行（项）2024年预算数为238.29万元，比2023年执行数增加</w:t>
      </w:r>
      <w:r>
        <w:rPr>
          <w:rFonts w:hint="eastAsia" w:ascii="仿宋" w:hAnsi="仿宋" w:eastAsia="仿宋"/>
          <w:sz w:val="32"/>
          <w:szCs w:val="32"/>
          <w:lang w:val="en-US" w:eastAsia="zh-CN"/>
        </w:rPr>
        <w:t>10.59</w:t>
      </w:r>
      <w:r>
        <w:rPr>
          <w:rFonts w:hint="eastAsia" w:ascii="仿宋" w:hAnsi="仿宋" w:eastAsia="仿宋"/>
          <w:sz w:val="32"/>
          <w:szCs w:val="32"/>
        </w:rPr>
        <w:t>万元，增加</w:t>
      </w:r>
      <w:r>
        <w:rPr>
          <w:rFonts w:hint="eastAsia" w:ascii="仿宋" w:hAnsi="仿宋" w:eastAsia="仿宋"/>
          <w:sz w:val="32"/>
          <w:szCs w:val="32"/>
          <w:lang w:val="en-US" w:eastAsia="zh-CN"/>
        </w:rPr>
        <w:t>4.65</w:t>
      </w:r>
      <w:r>
        <w:rPr>
          <w:rFonts w:hint="eastAsia" w:ascii="仿宋" w:hAnsi="仿宋" w:eastAsia="仿宋"/>
          <w:sz w:val="32"/>
          <w:szCs w:val="32"/>
        </w:rPr>
        <w:t>%，主要是工资提标。</w:t>
      </w:r>
    </w:p>
    <w:p>
      <w:pPr>
        <w:ind w:firstLine="480" w:firstLineChars="150"/>
        <w:rPr>
          <w:rFonts w:ascii="仿宋" w:hAnsi="仿宋" w:eastAsia="仿宋"/>
          <w:sz w:val="32"/>
          <w:szCs w:val="32"/>
        </w:rPr>
      </w:pPr>
      <w:r>
        <w:rPr>
          <w:rFonts w:hint="eastAsia" w:ascii="仿宋" w:hAnsi="仿宋" w:eastAsia="仿宋"/>
          <w:sz w:val="32"/>
          <w:szCs w:val="32"/>
        </w:rPr>
        <w:t>2.一般公共服务支出（类）财政事务（款）一般行政管理事务（项）2024年预算数为288.67万元，比2023年执行数减少</w:t>
      </w:r>
      <w:r>
        <w:rPr>
          <w:rFonts w:hint="eastAsia" w:ascii="仿宋" w:hAnsi="仿宋" w:eastAsia="仿宋"/>
          <w:sz w:val="32"/>
          <w:szCs w:val="32"/>
          <w:lang w:val="en-US" w:eastAsia="zh-CN"/>
        </w:rPr>
        <w:t>5987.4</w:t>
      </w:r>
      <w:r>
        <w:rPr>
          <w:rFonts w:hint="eastAsia" w:ascii="仿宋" w:hAnsi="仿宋" w:eastAsia="仿宋"/>
          <w:sz w:val="32"/>
          <w:szCs w:val="32"/>
        </w:rPr>
        <w:t>万元，下降</w:t>
      </w:r>
      <w:r>
        <w:rPr>
          <w:rFonts w:hint="eastAsia" w:ascii="仿宋" w:hAnsi="仿宋" w:eastAsia="仿宋"/>
          <w:sz w:val="32"/>
          <w:szCs w:val="32"/>
          <w:lang w:val="en-US" w:eastAsia="zh-CN"/>
        </w:rPr>
        <w:t>95.4</w:t>
      </w:r>
      <w:r>
        <w:rPr>
          <w:rFonts w:hint="eastAsia" w:ascii="仿宋" w:hAnsi="仿宋" w:eastAsia="仿宋"/>
          <w:sz w:val="32"/>
          <w:szCs w:val="32"/>
        </w:rPr>
        <w:t>%。主要是项目支出减少。</w:t>
      </w:r>
    </w:p>
    <w:p>
      <w:pPr>
        <w:rPr>
          <w:rFonts w:ascii="黑体" w:hAnsi="黑体" w:eastAsia="黑体"/>
          <w:sz w:val="32"/>
          <w:szCs w:val="32"/>
        </w:rPr>
      </w:pPr>
      <w:r>
        <w:rPr>
          <w:rFonts w:hint="eastAsia" w:ascii="黑体" w:hAnsi="黑体" w:eastAsia="黑体"/>
          <w:sz w:val="32"/>
          <w:szCs w:val="32"/>
        </w:rPr>
        <w:t>六、2024年一般公共预算基本支出表的说明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ascii="仿宋" w:hAnsi="仿宋" w:eastAsia="仿宋"/>
          <w:sz w:val="32"/>
          <w:szCs w:val="32"/>
        </w:rPr>
        <w:t>2</w:t>
      </w:r>
      <w:r>
        <w:rPr>
          <w:rFonts w:hint="eastAsia" w:ascii="仿宋" w:hAnsi="仿宋" w:eastAsia="仿宋"/>
          <w:sz w:val="32"/>
          <w:szCs w:val="32"/>
        </w:rPr>
        <w:t>38.29万元，其中：</w:t>
      </w:r>
    </w:p>
    <w:p>
      <w:pPr>
        <w:ind w:firstLine="640" w:firstLineChars="200"/>
        <w:rPr>
          <w:rFonts w:ascii="仿宋" w:hAnsi="仿宋" w:eastAsia="仿宋"/>
          <w:sz w:val="32"/>
          <w:szCs w:val="32"/>
        </w:rPr>
      </w:pPr>
      <w:r>
        <w:rPr>
          <w:rFonts w:hint="eastAsia" w:ascii="仿宋" w:hAnsi="仿宋" w:eastAsia="仿宋"/>
          <w:sz w:val="32"/>
          <w:szCs w:val="32"/>
        </w:rPr>
        <w:t>人员经费224.6万元，主要包括：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公用经费13.7万元，主要包括：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、工会经费、</w:t>
      </w:r>
      <w:r>
        <w:rPr>
          <w:rFonts w:ascii="仿宋" w:hAnsi="仿宋" w:eastAsia="仿宋"/>
          <w:sz w:val="32"/>
          <w:szCs w:val="32"/>
        </w:rPr>
        <w:t>其他商品和服务支出）</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七、2024年度一般公共预算“三公”经费预算情况说明</w:t>
      </w:r>
    </w:p>
    <w:p>
      <w:pPr>
        <w:ind w:firstLine="640" w:firstLineChars="200"/>
        <w:rPr>
          <w:rFonts w:hint="eastAsia" w:ascii="仿宋" w:hAnsi="仿宋" w:eastAsia="仿宋"/>
          <w:sz w:val="32"/>
          <w:szCs w:val="32"/>
        </w:rPr>
      </w:pPr>
      <w:r>
        <w:rPr>
          <w:rFonts w:hint="eastAsia" w:ascii="仿宋" w:hAnsi="仿宋" w:eastAsia="仿宋"/>
          <w:sz w:val="32"/>
          <w:szCs w:val="32"/>
        </w:rPr>
        <w:t>2024年“三公”经费预算数为5万元，其中：公务用车运维费5万元，公务接待费0万元。2024年“三公”经费预算比2023年增加3.8万元，增长76%，主要原因是三公经费中增加专项工作经费。</w:t>
      </w:r>
    </w:p>
    <w:p>
      <w:pPr>
        <w:ind w:firstLine="640" w:firstLineChars="200"/>
        <w:rPr>
          <w:rFonts w:ascii="仿宋" w:hAnsi="仿宋" w:eastAsia="仿宋"/>
          <w:sz w:val="32"/>
          <w:szCs w:val="32"/>
        </w:rPr>
      </w:pPr>
      <w:r>
        <w:rPr>
          <w:rFonts w:hint="eastAsia" w:ascii="仿宋" w:hAnsi="仿宋" w:eastAsia="仿宋"/>
          <w:sz w:val="32"/>
          <w:szCs w:val="32"/>
        </w:rPr>
        <w:t>因公出国（境）0团组、0人，公务用车购置0辆、保有0量，国内公务接待0批次、0人。</w:t>
      </w:r>
    </w:p>
    <w:p>
      <w:pPr>
        <w:rPr>
          <w:rFonts w:ascii="黑体" w:hAnsi="黑体" w:eastAsia="黑体"/>
          <w:sz w:val="32"/>
          <w:szCs w:val="32"/>
        </w:rPr>
      </w:pPr>
      <w:r>
        <w:rPr>
          <w:rFonts w:hint="eastAsia" w:ascii="黑体" w:hAnsi="黑体" w:eastAsia="黑体"/>
          <w:sz w:val="32"/>
          <w:szCs w:val="32"/>
        </w:rPr>
        <w:t>八、2024年度政府性基金预算支出情况说明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2024年政府性基金预算当年拨款24.5万元,比2023年执行数增加24.5万元，主要原因：我部门2024年度安排政府性基金支出。</w:t>
      </w:r>
    </w:p>
    <w:p>
      <w:pPr>
        <w:rPr>
          <w:rFonts w:ascii="黑体" w:hAnsi="黑体" w:eastAsia="黑体"/>
          <w:sz w:val="32"/>
          <w:szCs w:val="32"/>
        </w:rPr>
      </w:pPr>
      <w:r>
        <w:rPr>
          <w:rFonts w:hint="eastAsia" w:ascii="黑体" w:hAnsi="黑体" w:eastAsia="黑体"/>
          <w:sz w:val="32"/>
          <w:szCs w:val="32"/>
        </w:rPr>
        <w:t>九、其他重要事项的情况说明</w:t>
      </w:r>
    </w:p>
    <w:p>
      <w:pPr>
        <w:ind w:firstLine="320" w:firstLineChars="10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2024年住房和城乡建设局机关运行经费财政拨款预算</w:t>
      </w:r>
      <w:r>
        <w:rPr>
          <w:rFonts w:hint="eastAsia" w:ascii="仿宋_GB2312" w:eastAsia="仿宋_GB2312" w:cs="仿宋_GB2312" w:hAnsiTheme="minorHAnsi"/>
          <w:kern w:val="0"/>
          <w:sz w:val="32"/>
          <w:szCs w:val="32"/>
          <w:lang w:val="en-US" w:eastAsia="zh-CN"/>
        </w:rPr>
        <w:t>13.7</w:t>
      </w:r>
      <w:r>
        <w:rPr>
          <w:rFonts w:hint="eastAsia" w:ascii="仿宋" w:hAnsi="仿宋" w:eastAsia="仿宋"/>
          <w:sz w:val="32"/>
          <w:szCs w:val="32"/>
        </w:rPr>
        <w:t>万元，比2023年预算增加</w:t>
      </w:r>
      <w:r>
        <w:rPr>
          <w:rFonts w:hint="eastAsia" w:ascii="仿宋" w:hAnsi="仿宋" w:eastAsia="仿宋"/>
          <w:sz w:val="32"/>
          <w:szCs w:val="32"/>
          <w:lang w:val="en-US" w:eastAsia="zh-CN"/>
        </w:rPr>
        <w:t>0.41</w:t>
      </w:r>
      <w:r>
        <w:rPr>
          <w:rFonts w:hint="eastAsia" w:ascii="仿宋" w:hAnsi="仿宋" w:eastAsia="仿宋"/>
          <w:sz w:val="32"/>
          <w:szCs w:val="32"/>
        </w:rPr>
        <w:t>万元，增长</w:t>
      </w:r>
      <w:r>
        <w:rPr>
          <w:rFonts w:hint="eastAsia" w:ascii="仿宋_GB2312" w:eastAsia="仿宋_GB2312" w:cs="仿宋_GB2312" w:hAnsiTheme="minorHAnsi"/>
          <w:kern w:val="0"/>
          <w:sz w:val="32"/>
          <w:szCs w:val="32"/>
          <w:lang w:val="en-US" w:eastAsia="zh-CN"/>
        </w:rPr>
        <w:t>3.09</w:t>
      </w:r>
      <w:r>
        <w:rPr>
          <w:rFonts w:ascii="仿宋" w:hAnsi="仿宋" w:eastAsia="仿宋"/>
          <w:sz w:val="32"/>
          <w:szCs w:val="32"/>
        </w:rPr>
        <w:t>%</w:t>
      </w:r>
      <w:r>
        <w:rPr>
          <w:rFonts w:hint="eastAsia" w:ascii="仿宋" w:hAnsi="仿宋" w:eastAsia="仿宋"/>
          <w:sz w:val="32"/>
          <w:szCs w:val="32"/>
        </w:rPr>
        <w:t>。主要是我局</w:t>
      </w:r>
      <w:r>
        <w:rPr>
          <w:rFonts w:hint="eastAsia" w:ascii="仿宋" w:hAnsi="仿宋" w:eastAsia="仿宋"/>
          <w:sz w:val="32"/>
          <w:szCs w:val="32"/>
          <w:lang w:eastAsia="zh-CN"/>
        </w:rPr>
        <w:t>下乡出差次数增多</w:t>
      </w:r>
      <w:r>
        <w:rPr>
          <w:rFonts w:hint="eastAsia" w:ascii="仿宋_GB2312" w:eastAsia="仿宋_GB2312" w:cs="仿宋_GB2312" w:hAnsiTheme="minorHAnsi"/>
          <w:kern w:val="0"/>
          <w:sz w:val="32"/>
          <w:szCs w:val="32"/>
        </w:rPr>
        <w:t>。</w:t>
      </w:r>
    </w:p>
    <w:p>
      <w:pPr>
        <w:autoSpaceDE w:val="0"/>
        <w:autoSpaceDN w:val="0"/>
        <w:adjustRightInd w:val="0"/>
        <w:ind w:firstLine="320" w:firstLineChars="1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年住房和城乡建设局政府采购预算总额0万元，其中：政府采购货物预算0万元、政府采购工程预算0万元、政府采购服务预算0万元。</w:t>
      </w:r>
    </w:p>
    <w:p>
      <w:pPr>
        <w:ind w:firstLine="320" w:firstLineChars="1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rPr>
        <w:t>3年年底，本单位共有车辆0辆，其中，科级领导干部用车（含在职和离退休部级干部用车）辆0辆、机要通信用车辆0辆、应急保障用车辆0辆、执法执勤用车辆0辆、特种专业技术用车辆0辆、其他用车辆0辆，其他用车主要是用途的车辆。单位价值</w:t>
      </w:r>
      <w:r>
        <w:rPr>
          <w:rFonts w:ascii="仿宋" w:hAnsi="仿宋" w:eastAsia="仿宋"/>
          <w:sz w:val="32"/>
          <w:szCs w:val="32"/>
        </w:rPr>
        <w:t>50</w:t>
      </w:r>
      <w:r>
        <w:rPr>
          <w:rFonts w:hint="eastAsia" w:ascii="仿宋" w:hAnsi="仿宋" w:eastAsia="仿宋"/>
          <w:sz w:val="32"/>
          <w:szCs w:val="32"/>
        </w:rPr>
        <w:t>万元以上通用设备0台，单位价值</w:t>
      </w:r>
      <w:r>
        <w:rPr>
          <w:rFonts w:ascii="仿宋" w:hAnsi="仿宋" w:eastAsia="仿宋"/>
          <w:sz w:val="32"/>
          <w:szCs w:val="32"/>
        </w:rPr>
        <w:t>100</w:t>
      </w:r>
      <w:r>
        <w:rPr>
          <w:rFonts w:hint="eastAsia" w:ascii="仿宋" w:hAnsi="仿宋" w:eastAsia="仿宋"/>
          <w:sz w:val="32"/>
          <w:szCs w:val="32"/>
        </w:rPr>
        <w:t>万元以上专用设备0台。</w:t>
      </w:r>
    </w:p>
    <w:p>
      <w:pPr>
        <w:spacing w:line="588" w:lineRule="exact"/>
        <w:ind w:firstLine="320" w:firstLineChars="100"/>
        <w:rPr>
          <w:rFonts w:ascii="仿宋" w:hAnsi="仿宋" w:eastAsia="仿宋"/>
          <w:b/>
          <w:sz w:val="32"/>
          <w:szCs w:val="32"/>
        </w:rPr>
      </w:pPr>
      <w:r>
        <w:rPr>
          <w:rFonts w:hint="eastAsia" w:ascii="楷体" w:hAnsi="楷体" w:eastAsia="楷体"/>
          <w:sz w:val="32"/>
          <w:szCs w:val="32"/>
        </w:rPr>
        <w:t>（四）2024年预算绩效目标管理情况。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19个，资金551.47万元，其中：中央转移支付资金0万元，地方资金551.47万元。重点项目（见名词解释）实行绩效目标管理0个，分别是项目名称，资金0万元；占年初项目支出预算总额的0%。</w:t>
      </w:r>
    </w:p>
    <w:p>
      <w:pPr>
        <w:ind w:firstLine="320" w:firstLineChars="100"/>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仿宋" w:hAnsi="仿宋" w:eastAsia="仿宋"/>
          <w:sz w:val="32"/>
          <w:szCs w:val="32"/>
        </w:rPr>
        <w:t xml:space="preserve"> 嘉黎县住房和城乡建设局无扶贫领域资金。</w:t>
      </w:r>
    </w:p>
    <w:p>
      <w:pPr>
        <w:ind w:firstLine="320" w:firstLineChars="100"/>
        <w:rPr>
          <w:rFonts w:ascii="楷体" w:hAnsi="楷体" w:eastAsia="楷体"/>
          <w:sz w:val="32"/>
          <w:szCs w:val="32"/>
        </w:rPr>
      </w:pPr>
      <w:r>
        <w:rPr>
          <w:rFonts w:hint="eastAsia" w:ascii="楷体" w:hAnsi="楷体" w:eastAsia="楷体"/>
          <w:sz w:val="32"/>
          <w:szCs w:val="32"/>
        </w:rPr>
        <w:t>（六）政府债务情况。</w:t>
      </w:r>
    </w:p>
    <w:p>
      <w:pPr>
        <w:ind w:firstLine="320" w:firstLineChars="100"/>
        <w:rPr>
          <w:rFonts w:ascii="仿宋_GB2312" w:eastAsia="仿宋_GB2312" w:cs="仿宋_GB2312" w:hAnsiTheme="minorHAnsi"/>
          <w:kern w:val="0"/>
          <w:sz w:val="32"/>
          <w:szCs w:val="32"/>
        </w:rPr>
      </w:pPr>
      <w:r>
        <w:rPr>
          <w:rFonts w:hint="eastAsia" w:ascii="仿宋" w:hAnsi="仿宋" w:eastAsia="仿宋"/>
          <w:sz w:val="32"/>
          <w:szCs w:val="32"/>
        </w:rPr>
        <w:t>嘉黎县住房和城乡建设局无政府债务资金。</w:t>
      </w: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9</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80447036">
    <w:nsid w:val="16AD293C"/>
    <w:multiLevelType w:val="multilevel"/>
    <w:tmpl w:val="16AD293C"/>
    <w:lvl w:ilvl="0" w:tentative="1">
      <w:start w:val="1"/>
      <w:numFmt w:val="japaneseCounting"/>
      <w:lvlText w:val="%1、"/>
      <w:lvlJc w:val="left"/>
      <w:pPr>
        <w:ind w:left="1004" w:hanging="720"/>
      </w:pPr>
      <w:rPr>
        <w:rFonts w:hint="default"/>
      </w:rPr>
    </w:lvl>
    <w:lvl w:ilvl="1" w:tentative="1">
      <w:start w:val="1"/>
      <w:numFmt w:val="lowerLetter"/>
      <w:lvlText w:val="%2)"/>
      <w:lvlJc w:val="left"/>
      <w:pPr>
        <w:ind w:left="1124" w:hanging="420"/>
      </w:pPr>
    </w:lvl>
    <w:lvl w:ilvl="2" w:tentative="1">
      <w:start w:val="1"/>
      <w:numFmt w:val="lowerRoman"/>
      <w:lvlText w:val="%3."/>
      <w:lvlJc w:val="right"/>
      <w:pPr>
        <w:ind w:left="1544" w:hanging="420"/>
      </w:pPr>
    </w:lvl>
    <w:lvl w:ilvl="3" w:tentative="1">
      <w:start w:val="1"/>
      <w:numFmt w:val="decimal"/>
      <w:lvlText w:val="%4."/>
      <w:lvlJc w:val="left"/>
      <w:pPr>
        <w:ind w:left="1964" w:hanging="420"/>
      </w:pPr>
    </w:lvl>
    <w:lvl w:ilvl="4" w:tentative="1">
      <w:start w:val="1"/>
      <w:numFmt w:val="lowerLetter"/>
      <w:lvlText w:val="%5)"/>
      <w:lvlJc w:val="left"/>
      <w:pPr>
        <w:ind w:left="2384" w:hanging="420"/>
      </w:pPr>
    </w:lvl>
    <w:lvl w:ilvl="5" w:tentative="1">
      <w:start w:val="1"/>
      <w:numFmt w:val="lowerRoman"/>
      <w:lvlText w:val="%6."/>
      <w:lvlJc w:val="right"/>
      <w:pPr>
        <w:ind w:left="2804" w:hanging="420"/>
      </w:pPr>
    </w:lvl>
    <w:lvl w:ilvl="6" w:tentative="1">
      <w:start w:val="1"/>
      <w:numFmt w:val="decimal"/>
      <w:lvlText w:val="%7."/>
      <w:lvlJc w:val="left"/>
      <w:pPr>
        <w:ind w:left="3224" w:hanging="420"/>
      </w:pPr>
    </w:lvl>
    <w:lvl w:ilvl="7" w:tentative="1">
      <w:start w:val="1"/>
      <w:numFmt w:val="lowerLetter"/>
      <w:lvlText w:val="%8)"/>
      <w:lvlJc w:val="left"/>
      <w:pPr>
        <w:ind w:left="3644" w:hanging="420"/>
      </w:pPr>
    </w:lvl>
    <w:lvl w:ilvl="8" w:tentative="1">
      <w:start w:val="1"/>
      <w:numFmt w:val="lowerRoman"/>
      <w:lvlText w:val="%9."/>
      <w:lvlJc w:val="right"/>
      <w:pPr>
        <w:ind w:left="4064" w:hanging="420"/>
      </w:pPr>
    </w:lvl>
  </w:abstractNum>
  <w:num w:numId="1">
    <w:abstractNumId w:val="3804470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01D5B"/>
    <w:rsid w:val="000151FD"/>
    <w:rsid w:val="00015A4C"/>
    <w:rsid w:val="0002762E"/>
    <w:rsid w:val="0003517B"/>
    <w:rsid w:val="00041C59"/>
    <w:rsid w:val="00043AA8"/>
    <w:rsid w:val="00086B54"/>
    <w:rsid w:val="000946AB"/>
    <w:rsid w:val="00096F91"/>
    <w:rsid w:val="000A1AFA"/>
    <w:rsid w:val="000A6427"/>
    <w:rsid w:val="000A6C58"/>
    <w:rsid w:val="000B0509"/>
    <w:rsid w:val="000C059D"/>
    <w:rsid w:val="000C6219"/>
    <w:rsid w:val="000D67C2"/>
    <w:rsid w:val="000E0589"/>
    <w:rsid w:val="000F293F"/>
    <w:rsid w:val="000F4CC4"/>
    <w:rsid w:val="000F5718"/>
    <w:rsid w:val="000F6F37"/>
    <w:rsid w:val="00105104"/>
    <w:rsid w:val="00110DD9"/>
    <w:rsid w:val="00112917"/>
    <w:rsid w:val="00112B51"/>
    <w:rsid w:val="0011522B"/>
    <w:rsid w:val="001162B6"/>
    <w:rsid w:val="00120075"/>
    <w:rsid w:val="00122CE1"/>
    <w:rsid w:val="00130285"/>
    <w:rsid w:val="00137481"/>
    <w:rsid w:val="00147E9E"/>
    <w:rsid w:val="00151C9B"/>
    <w:rsid w:val="00155162"/>
    <w:rsid w:val="00160D39"/>
    <w:rsid w:val="00163489"/>
    <w:rsid w:val="001661AE"/>
    <w:rsid w:val="00166215"/>
    <w:rsid w:val="00172589"/>
    <w:rsid w:val="00172FBC"/>
    <w:rsid w:val="00174215"/>
    <w:rsid w:val="00175486"/>
    <w:rsid w:val="001A47B8"/>
    <w:rsid w:val="001A6CD9"/>
    <w:rsid w:val="001A6EEA"/>
    <w:rsid w:val="001B2086"/>
    <w:rsid w:val="001B4F21"/>
    <w:rsid w:val="001C462A"/>
    <w:rsid w:val="001C6D56"/>
    <w:rsid w:val="001C6DC1"/>
    <w:rsid w:val="001E25E8"/>
    <w:rsid w:val="001E413D"/>
    <w:rsid w:val="001E5023"/>
    <w:rsid w:val="001E706D"/>
    <w:rsid w:val="001F2D85"/>
    <w:rsid w:val="001F45DA"/>
    <w:rsid w:val="001F5E8D"/>
    <w:rsid w:val="001F6F79"/>
    <w:rsid w:val="002026C4"/>
    <w:rsid w:val="00206839"/>
    <w:rsid w:val="00211391"/>
    <w:rsid w:val="00213708"/>
    <w:rsid w:val="00226961"/>
    <w:rsid w:val="00230405"/>
    <w:rsid w:val="00243F39"/>
    <w:rsid w:val="00255CD4"/>
    <w:rsid w:val="00266E39"/>
    <w:rsid w:val="00275923"/>
    <w:rsid w:val="00285201"/>
    <w:rsid w:val="002912FA"/>
    <w:rsid w:val="002A23AC"/>
    <w:rsid w:val="002B4B50"/>
    <w:rsid w:val="002C0D66"/>
    <w:rsid w:val="002D58E7"/>
    <w:rsid w:val="002E4184"/>
    <w:rsid w:val="002E550F"/>
    <w:rsid w:val="002F56FF"/>
    <w:rsid w:val="0031342C"/>
    <w:rsid w:val="003139C9"/>
    <w:rsid w:val="00314F12"/>
    <w:rsid w:val="00317BDD"/>
    <w:rsid w:val="00322979"/>
    <w:rsid w:val="00323C72"/>
    <w:rsid w:val="003242D4"/>
    <w:rsid w:val="00324FFC"/>
    <w:rsid w:val="00343F94"/>
    <w:rsid w:val="00360873"/>
    <w:rsid w:val="00360DA6"/>
    <w:rsid w:val="003646E6"/>
    <w:rsid w:val="00367491"/>
    <w:rsid w:val="00371B62"/>
    <w:rsid w:val="00371BC9"/>
    <w:rsid w:val="003733C3"/>
    <w:rsid w:val="00374132"/>
    <w:rsid w:val="003A0F5A"/>
    <w:rsid w:val="003A4455"/>
    <w:rsid w:val="003A4970"/>
    <w:rsid w:val="003B4CAC"/>
    <w:rsid w:val="003C047D"/>
    <w:rsid w:val="003C07B1"/>
    <w:rsid w:val="003C31F6"/>
    <w:rsid w:val="003E21A4"/>
    <w:rsid w:val="003E2D5B"/>
    <w:rsid w:val="00405B8E"/>
    <w:rsid w:val="00420661"/>
    <w:rsid w:val="00421A26"/>
    <w:rsid w:val="0042253D"/>
    <w:rsid w:val="00436EA8"/>
    <w:rsid w:val="00442D8D"/>
    <w:rsid w:val="00451DA4"/>
    <w:rsid w:val="004573CF"/>
    <w:rsid w:val="00462730"/>
    <w:rsid w:val="00463186"/>
    <w:rsid w:val="004773FB"/>
    <w:rsid w:val="00477792"/>
    <w:rsid w:val="00480381"/>
    <w:rsid w:val="00490C1D"/>
    <w:rsid w:val="00494078"/>
    <w:rsid w:val="004970A2"/>
    <w:rsid w:val="004B70D0"/>
    <w:rsid w:val="004C00B1"/>
    <w:rsid w:val="004C433B"/>
    <w:rsid w:val="004C45A4"/>
    <w:rsid w:val="004D0C4F"/>
    <w:rsid w:val="004D363A"/>
    <w:rsid w:val="004D586B"/>
    <w:rsid w:val="004D7111"/>
    <w:rsid w:val="004F02DB"/>
    <w:rsid w:val="004F0973"/>
    <w:rsid w:val="004F7149"/>
    <w:rsid w:val="00504BCF"/>
    <w:rsid w:val="00507BC1"/>
    <w:rsid w:val="00510F60"/>
    <w:rsid w:val="00512DED"/>
    <w:rsid w:val="005227B8"/>
    <w:rsid w:val="00536B9A"/>
    <w:rsid w:val="00537680"/>
    <w:rsid w:val="0054262B"/>
    <w:rsid w:val="00542D4C"/>
    <w:rsid w:val="005472B4"/>
    <w:rsid w:val="00550607"/>
    <w:rsid w:val="00552117"/>
    <w:rsid w:val="005526AE"/>
    <w:rsid w:val="005538C2"/>
    <w:rsid w:val="00556119"/>
    <w:rsid w:val="0056413E"/>
    <w:rsid w:val="00570F81"/>
    <w:rsid w:val="00572485"/>
    <w:rsid w:val="00575636"/>
    <w:rsid w:val="00575675"/>
    <w:rsid w:val="00576C78"/>
    <w:rsid w:val="00577343"/>
    <w:rsid w:val="005822CF"/>
    <w:rsid w:val="00587E83"/>
    <w:rsid w:val="00593341"/>
    <w:rsid w:val="0059715A"/>
    <w:rsid w:val="005A57AF"/>
    <w:rsid w:val="005B264E"/>
    <w:rsid w:val="005B7595"/>
    <w:rsid w:val="005C12AB"/>
    <w:rsid w:val="005C500B"/>
    <w:rsid w:val="005D584E"/>
    <w:rsid w:val="005E29CF"/>
    <w:rsid w:val="005E5236"/>
    <w:rsid w:val="005E58BA"/>
    <w:rsid w:val="005F0038"/>
    <w:rsid w:val="005F2417"/>
    <w:rsid w:val="005F2DA3"/>
    <w:rsid w:val="005F32F5"/>
    <w:rsid w:val="005F64C8"/>
    <w:rsid w:val="005F71EB"/>
    <w:rsid w:val="00611AA9"/>
    <w:rsid w:val="00613FF9"/>
    <w:rsid w:val="00633A21"/>
    <w:rsid w:val="00634BCD"/>
    <w:rsid w:val="00636645"/>
    <w:rsid w:val="00640514"/>
    <w:rsid w:val="0064060E"/>
    <w:rsid w:val="00641243"/>
    <w:rsid w:val="00643004"/>
    <w:rsid w:val="00647920"/>
    <w:rsid w:val="00653B9E"/>
    <w:rsid w:val="00656596"/>
    <w:rsid w:val="00664DF2"/>
    <w:rsid w:val="006677B0"/>
    <w:rsid w:val="0067255B"/>
    <w:rsid w:val="00687F7D"/>
    <w:rsid w:val="006A3631"/>
    <w:rsid w:val="006A497D"/>
    <w:rsid w:val="006B2E21"/>
    <w:rsid w:val="006B41A1"/>
    <w:rsid w:val="006C4305"/>
    <w:rsid w:val="006C4C00"/>
    <w:rsid w:val="006C5EA0"/>
    <w:rsid w:val="006D17BF"/>
    <w:rsid w:val="006D5208"/>
    <w:rsid w:val="006D5592"/>
    <w:rsid w:val="006D6AB2"/>
    <w:rsid w:val="006E3C59"/>
    <w:rsid w:val="006E718B"/>
    <w:rsid w:val="006E770E"/>
    <w:rsid w:val="00711BC5"/>
    <w:rsid w:val="00717C4D"/>
    <w:rsid w:val="00727ADB"/>
    <w:rsid w:val="00735D45"/>
    <w:rsid w:val="00737A27"/>
    <w:rsid w:val="00740AB9"/>
    <w:rsid w:val="00741DB8"/>
    <w:rsid w:val="00746EB4"/>
    <w:rsid w:val="007529D0"/>
    <w:rsid w:val="00753C16"/>
    <w:rsid w:val="0077075E"/>
    <w:rsid w:val="00774B0F"/>
    <w:rsid w:val="007751BF"/>
    <w:rsid w:val="00795DD4"/>
    <w:rsid w:val="007A00E8"/>
    <w:rsid w:val="007A6ED2"/>
    <w:rsid w:val="007B4AD4"/>
    <w:rsid w:val="007B7CCA"/>
    <w:rsid w:val="007C16EB"/>
    <w:rsid w:val="007C2088"/>
    <w:rsid w:val="007C32B9"/>
    <w:rsid w:val="007C5A03"/>
    <w:rsid w:val="007C5F49"/>
    <w:rsid w:val="007D383D"/>
    <w:rsid w:val="007F0BC6"/>
    <w:rsid w:val="007F46BE"/>
    <w:rsid w:val="008001B3"/>
    <w:rsid w:val="0080401E"/>
    <w:rsid w:val="00806758"/>
    <w:rsid w:val="00813A99"/>
    <w:rsid w:val="00813AC0"/>
    <w:rsid w:val="0081777D"/>
    <w:rsid w:val="008248B8"/>
    <w:rsid w:val="008314A5"/>
    <w:rsid w:val="0083524D"/>
    <w:rsid w:val="00835E1D"/>
    <w:rsid w:val="00840C3A"/>
    <w:rsid w:val="008468ED"/>
    <w:rsid w:val="008532AF"/>
    <w:rsid w:val="00854673"/>
    <w:rsid w:val="0085478E"/>
    <w:rsid w:val="0086465E"/>
    <w:rsid w:val="00871235"/>
    <w:rsid w:val="00875CA7"/>
    <w:rsid w:val="00876952"/>
    <w:rsid w:val="008770A2"/>
    <w:rsid w:val="00885072"/>
    <w:rsid w:val="00890723"/>
    <w:rsid w:val="00891441"/>
    <w:rsid w:val="0089630C"/>
    <w:rsid w:val="008A6719"/>
    <w:rsid w:val="008B085A"/>
    <w:rsid w:val="008B3AF4"/>
    <w:rsid w:val="008C0AE1"/>
    <w:rsid w:val="008C1F95"/>
    <w:rsid w:val="008C509F"/>
    <w:rsid w:val="008D39A8"/>
    <w:rsid w:val="008E490F"/>
    <w:rsid w:val="008E497C"/>
    <w:rsid w:val="008F37FF"/>
    <w:rsid w:val="008F5CAA"/>
    <w:rsid w:val="00913A6E"/>
    <w:rsid w:val="009146C3"/>
    <w:rsid w:val="00914EA0"/>
    <w:rsid w:val="009461ED"/>
    <w:rsid w:val="0095324A"/>
    <w:rsid w:val="00953C23"/>
    <w:rsid w:val="00954CEB"/>
    <w:rsid w:val="0096127B"/>
    <w:rsid w:val="00993FFC"/>
    <w:rsid w:val="009A1845"/>
    <w:rsid w:val="009A6ABB"/>
    <w:rsid w:val="009B2113"/>
    <w:rsid w:val="009B5DF1"/>
    <w:rsid w:val="009C5EB6"/>
    <w:rsid w:val="009D0EC6"/>
    <w:rsid w:val="009D220B"/>
    <w:rsid w:val="009D330A"/>
    <w:rsid w:val="009D58A7"/>
    <w:rsid w:val="009F171D"/>
    <w:rsid w:val="009F1DCA"/>
    <w:rsid w:val="00A03532"/>
    <w:rsid w:val="00A04FAE"/>
    <w:rsid w:val="00A15AC2"/>
    <w:rsid w:val="00A207FF"/>
    <w:rsid w:val="00A22513"/>
    <w:rsid w:val="00A239B3"/>
    <w:rsid w:val="00A25D6E"/>
    <w:rsid w:val="00A262A5"/>
    <w:rsid w:val="00A3432E"/>
    <w:rsid w:val="00A34AA2"/>
    <w:rsid w:val="00A42EB8"/>
    <w:rsid w:val="00A45E34"/>
    <w:rsid w:val="00A47878"/>
    <w:rsid w:val="00A50A16"/>
    <w:rsid w:val="00A53E77"/>
    <w:rsid w:val="00A615F1"/>
    <w:rsid w:val="00A81865"/>
    <w:rsid w:val="00A825B5"/>
    <w:rsid w:val="00A82B36"/>
    <w:rsid w:val="00A83879"/>
    <w:rsid w:val="00A86130"/>
    <w:rsid w:val="00A92CD6"/>
    <w:rsid w:val="00AB0808"/>
    <w:rsid w:val="00AB75F2"/>
    <w:rsid w:val="00AC1350"/>
    <w:rsid w:val="00AE35A4"/>
    <w:rsid w:val="00AF3B65"/>
    <w:rsid w:val="00B007C8"/>
    <w:rsid w:val="00B07093"/>
    <w:rsid w:val="00B232EA"/>
    <w:rsid w:val="00B24AA6"/>
    <w:rsid w:val="00B50AE2"/>
    <w:rsid w:val="00B53D62"/>
    <w:rsid w:val="00B5797C"/>
    <w:rsid w:val="00B60721"/>
    <w:rsid w:val="00B6522F"/>
    <w:rsid w:val="00B67A9E"/>
    <w:rsid w:val="00B73E9C"/>
    <w:rsid w:val="00B74CCE"/>
    <w:rsid w:val="00B83139"/>
    <w:rsid w:val="00B84526"/>
    <w:rsid w:val="00B84681"/>
    <w:rsid w:val="00B87F4C"/>
    <w:rsid w:val="00B90510"/>
    <w:rsid w:val="00B92C71"/>
    <w:rsid w:val="00B96D8F"/>
    <w:rsid w:val="00BA3667"/>
    <w:rsid w:val="00BA7814"/>
    <w:rsid w:val="00BC5647"/>
    <w:rsid w:val="00BC66BE"/>
    <w:rsid w:val="00BD2BDC"/>
    <w:rsid w:val="00BD58F0"/>
    <w:rsid w:val="00BE034D"/>
    <w:rsid w:val="00BE6B5B"/>
    <w:rsid w:val="00BE6DF3"/>
    <w:rsid w:val="00BF071B"/>
    <w:rsid w:val="00BF410A"/>
    <w:rsid w:val="00BF7DA7"/>
    <w:rsid w:val="00C03BCD"/>
    <w:rsid w:val="00C104E4"/>
    <w:rsid w:val="00C2239E"/>
    <w:rsid w:val="00C22834"/>
    <w:rsid w:val="00C33982"/>
    <w:rsid w:val="00C51E09"/>
    <w:rsid w:val="00C55C2B"/>
    <w:rsid w:val="00C55E3C"/>
    <w:rsid w:val="00C565B8"/>
    <w:rsid w:val="00C57B85"/>
    <w:rsid w:val="00C63BEE"/>
    <w:rsid w:val="00C67C44"/>
    <w:rsid w:val="00C76A23"/>
    <w:rsid w:val="00C77CA6"/>
    <w:rsid w:val="00C81E89"/>
    <w:rsid w:val="00CA7F99"/>
    <w:rsid w:val="00CC47BA"/>
    <w:rsid w:val="00CC5CE5"/>
    <w:rsid w:val="00CD29AE"/>
    <w:rsid w:val="00CD5580"/>
    <w:rsid w:val="00CE20EB"/>
    <w:rsid w:val="00CE3360"/>
    <w:rsid w:val="00CE472E"/>
    <w:rsid w:val="00CE7C4E"/>
    <w:rsid w:val="00CF4F30"/>
    <w:rsid w:val="00D0154E"/>
    <w:rsid w:val="00D02681"/>
    <w:rsid w:val="00D22EF7"/>
    <w:rsid w:val="00D23758"/>
    <w:rsid w:val="00D249DA"/>
    <w:rsid w:val="00D24CB5"/>
    <w:rsid w:val="00D25868"/>
    <w:rsid w:val="00D3251B"/>
    <w:rsid w:val="00D44A77"/>
    <w:rsid w:val="00D456A9"/>
    <w:rsid w:val="00D53F69"/>
    <w:rsid w:val="00D57443"/>
    <w:rsid w:val="00D632F1"/>
    <w:rsid w:val="00D70F52"/>
    <w:rsid w:val="00D76DB5"/>
    <w:rsid w:val="00D77529"/>
    <w:rsid w:val="00D83F6F"/>
    <w:rsid w:val="00D84FA1"/>
    <w:rsid w:val="00D8569C"/>
    <w:rsid w:val="00D8669F"/>
    <w:rsid w:val="00D879C5"/>
    <w:rsid w:val="00D9331D"/>
    <w:rsid w:val="00DB0231"/>
    <w:rsid w:val="00DC0879"/>
    <w:rsid w:val="00DC66B8"/>
    <w:rsid w:val="00DD6F6E"/>
    <w:rsid w:val="00E03AF9"/>
    <w:rsid w:val="00E04338"/>
    <w:rsid w:val="00E104B4"/>
    <w:rsid w:val="00E115D0"/>
    <w:rsid w:val="00E16F04"/>
    <w:rsid w:val="00E233E9"/>
    <w:rsid w:val="00E31C25"/>
    <w:rsid w:val="00E32EC0"/>
    <w:rsid w:val="00E4103C"/>
    <w:rsid w:val="00E42C47"/>
    <w:rsid w:val="00E64CA4"/>
    <w:rsid w:val="00E6642D"/>
    <w:rsid w:val="00E745C7"/>
    <w:rsid w:val="00E76E09"/>
    <w:rsid w:val="00E82B77"/>
    <w:rsid w:val="00E904F2"/>
    <w:rsid w:val="00E91599"/>
    <w:rsid w:val="00E93213"/>
    <w:rsid w:val="00EA35E2"/>
    <w:rsid w:val="00EB5EFC"/>
    <w:rsid w:val="00EB6F26"/>
    <w:rsid w:val="00EB7129"/>
    <w:rsid w:val="00EC3348"/>
    <w:rsid w:val="00EE0A42"/>
    <w:rsid w:val="00EF0AD6"/>
    <w:rsid w:val="00EF0F56"/>
    <w:rsid w:val="00F00FDB"/>
    <w:rsid w:val="00F06045"/>
    <w:rsid w:val="00F066C6"/>
    <w:rsid w:val="00F07089"/>
    <w:rsid w:val="00F07B31"/>
    <w:rsid w:val="00F21E99"/>
    <w:rsid w:val="00F2611F"/>
    <w:rsid w:val="00F27B94"/>
    <w:rsid w:val="00F434A4"/>
    <w:rsid w:val="00F4454F"/>
    <w:rsid w:val="00F4619D"/>
    <w:rsid w:val="00F50409"/>
    <w:rsid w:val="00F82800"/>
    <w:rsid w:val="00F96845"/>
    <w:rsid w:val="00FA33D7"/>
    <w:rsid w:val="00FA708B"/>
    <w:rsid w:val="00FA7B73"/>
    <w:rsid w:val="00FB2ECC"/>
    <w:rsid w:val="00FD6D3F"/>
    <w:rsid w:val="00FD6F2C"/>
    <w:rsid w:val="00FE1A3B"/>
    <w:rsid w:val="0B3D3F67"/>
    <w:rsid w:val="276B768D"/>
    <w:rsid w:val="3E1A5671"/>
    <w:rsid w:val="5E134B9D"/>
    <w:rsid w:val="679A4285"/>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8E2679-C34B-48CF-9ECB-3ABE09137AF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532</Words>
  <Characters>3033</Characters>
  <Lines>25</Lines>
  <Paragraphs>7</Paragraphs>
  <TotalTime>0</TotalTime>
  <ScaleCrop>false</ScaleCrop>
  <LinksUpToDate>false</LinksUpToDate>
  <CharactersWithSpaces>3558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2022-03-11T02:07:00Z</cp:lastPrinted>
  <dcterms:modified xsi:type="dcterms:W3CDTF">2024-02-01T03:00:20Z</dcterms:modified>
  <cp:revision>460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