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嘉黎县信访局202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信访局概况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信访局202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第三部分信访局202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信访局概况</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第一条 根据党中央、自治区党委关于深化地方党政机构改革的工作要求，按照《那曲市机构改革方案》、《关于那曲市机构改革的实施意见》和《嘉黎县机构改革方案》，制定本规定。</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第二条 嘉黎县信访局是县政府组成部门，为正科级。第三条 县信访局负责贯彻落实中央关于信访工作的方针政策和自治区党委、市委和县委的决策部署，在履行职责过程中坚持加强县委对信访工作的统一领导。主要职责：</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（一）贯彻执行国家和自治区关于信访工作的方针、政策和法律法规。宣传和贯彻落实国务院《信访条例》和自治区有关规定。</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（二）负责处理群众来信、接待群众来访。向县委、县政府及县委办公室、县政府办公室反映来信来访中提出的重要建议、意见和问题。增强信访工作的预见性和针对性。</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（三）负责办理那曲市和县领导批办、交办的信访事项，承办其他乡（镇）转办的群众来信来访事项。负责向各乡（镇）和各部门转办、交办信访事项。督促、检查、反馈信访事项的处理、落实情况。</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（四）负责协调信访工作宣传和信访信息的汇集、分析、报送、发布。</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（五）负责协调处理跨乡（镇）、跨部门的重要信访问题，综合协调处理全县信访工作。总结推广各乡（镇）和各部门信访工作经验，提出改进和加强信访工作的意见和建议。</w:t>
      </w: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（六）承担全县处理信访突出问题及群体性事件、联席会议办公室的日常工作，督促落实联席会议决定的事项。</w:t>
      </w:r>
    </w:p>
    <w:p>
      <w:pPr>
        <w:ind w:firstLine="640" w:firstLineChars="200"/>
        <w:rPr>
          <w:rFonts w:ascii="仿宋" w:hAnsi="仿宋" w:eastAsia="仿宋"/>
          <w:sz w:val="32"/>
          <w:szCs w:val="32"/>
        </w:rPr>
      </w:pPr>
      <w:r>
        <w:rPr>
          <w:rFonts w:hint="eastAsia" w:ascii="仿宋" w:hAnsi="仿宋" w:eastAsia="仿宋" w:cs="仿宋_GB2312"/>
          <w:kern w:val="0"/>
          <w:sz w:val="32"/>
          <w:szCs w:val="32"/>
        </w:rPr>
        <w:t>（七）完成县委、县政府交办的其他任务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信访局（部门）202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rPr>
        <w:t>信访局202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216.52</w:t>
      </w:r>
      <w:r>
        <w:rPr>
          <w:rFonts w:hint="eastAsia" w:ascii="仿宋" w:hAnsi="仿宋" w:eastAsia="仿宋"/>
          <w:sz w:val="32"/>
          <w:szCs w:val="32"/>
        </w:rPr>
        <w:t>万元。收入包括：一般公共预算拨款收入、上年结转；支出包括：一般公共服务支出、社会保障和就业支出、卫生健康支出、住房保障支出。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216.52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161.05</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13.4</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17.07</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46.38</w:t>
      </w:r>
      <w:r>
        <w:rPr>
          <w:rFonts w:hint="eastAsia" w:ascii="仿宋" w:hAnsi="仿宋" w:eastAsia="仿宋"/>
          <w:sz w:val="32"/>
          <w:szCs w:val="32"/>
        </w:rPr>
        <w:t>万元，主要原因：人员</w:t>
      </w:r>
      <w:r>
        <w:rPr>
          <w:rFonts w:hint="eastAsia" w:ascii="仿宋" w:hAnsi="仿宋" w:eastAsia="仿宋"/>
          <w:sz w:val="32"/>
          <w:szCs w:val="32"/>
          <w:lang w:eastAsia="zh-CN"/>
        </w:rPr>
        <w:t>增加</w:t>
      </w:r>
      <w:r>
        <w:rPr>
          <w:rFonts w:hint="eastAsia" w:ascii="仿宋" w:hAnsi="仿宋" w:eastAsia="仿宋"/>
          <w:sz w:val="32"/>
          <w:szCs w:val="32"/>
        </w:rPr>
        <w:t>原因</w:t>
      </w:r>
      <w:r>
        <w:rPr>
          <w:rFonts w:hint="eastAsia" w:ascii="楷体" w:hAnsi="楷体" w:eastAsia="楷体"/>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161.05</w:t>
      </w:r>
      <w:r>
        <w:rPr>
          <w:rFonts w:hint="eastAsia" w:ascii="仿宋" w:hAnsi="仿宋" w:eastAsia="仿宋"/>
          <w:sz w:val="32"/>
          <w:szCs w:val="32"/>
        </w:rPr>
        <w:t>万元，占</w:t>
      </w:r>
      <w:r>
        <w:rPr>
          <w:rFonts w:hint="eastAsia" w:ascii="仿宋" w:hAnsi="仿宋" w:eastAsia="仿宋"/>
          <w:sz w:val="32"/>
          <w:szCs w:val="32"/>
          <w:u w:val="single"/>
          <w:lang w:val="en-US" w:eastAsia="zh-CN"/>
        </w:rPr>
        <w:t>74.38%</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11.55%</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13.40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6.19%</w:t>
      </w:r>
      <w:r>
        <w:rPr>
          <w:rFonts w:hint="eastAsia" w:ascii="仿宋" w:hAnsi="仿宋" w:eastAsia="仿宋"/>
          <w:sz w:val="32"/>
          <w:szCs w:val="32"/>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17.07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7.88%</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color w:val="000000" w:themeColor="text1"/>
          <w:sz w:val="32"/>
          <w:szCs w:val="32"/>
          <w:lang w:eastAsia="zh-CN"/>
        </w:rPr>
      </w:pPr>
      <w:r>
        <w:rPr>
          <w:rFonts w:hint="eastAsia" w:ascii="仿宋" w:hAnsi="仿宋" w:eastAsia="仿宋"/>
          <w:sz w:val="32"/>
          <w:szCs w:val="32"/>
        </w:rPr>
        <w:t>一般公共服务支出（类）财政事务（款）行政运行（项）202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仿宋" w:hAnsi="仿宋" w:eastAsia="仿宋"/>
          <w:sz w:val="32"/>
          <w:szCs w:val="32"/>
          <w:u w:val="single"/>
          <w:lang w:val="en-US" w:eastAsia="zh-CN"/>
        </w:rPr>
        <w:t>216.52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增加了</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47.58</w:t>
      </w:r>
      <w:r>
        <w:rPr>
          <w:rFonts w:hint="eastAsia" w:ascii="仿宋" w:hAnsi="仿宋" w:eastAsia="仿宋"/>
          <w:sz w:val="32"/>
          <w:szCs w:val="32"/>
        </w:rPr>
        <w:t>万元。</w:t>
      </w:r>
      <w:r>
        <w:rPr>
          <w:rFonts w:hint="eastAsia" w:ascii="仿宋" w:hAnsi="仿宋" w:eastAsia="仿宋"/>
          <w:sz w:val="32"/>
          <w:szCs w:val="32"/>
          <w:lang w:eastAsia="zh-CN"/>
        </w:rPr>
        <w:t>人员增加原因。</w:t>
      </w:r>
    </w:p>
    <w:p>
      <w:pPr>
        <w:numPr>
          <w:ilvl w:val="0"/>
          <w:numId w:val="0"/>
        </w:numPr>
        <w:rPr>
          <w:rFonts w:ascii="楷体" w:hAnsi="楷体" w:eastAsia="楷体"/>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2.一般公共服务支出（类）财政事务（款）一般行政管理事务（项）202</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216.52</w:t>
      </w:r>
      <w:r>
        <w:rPr>
          <w:rFonts w:hint="eastAsia" w:ascii="仿宋" w:hAnsi="仿宋" w:eastAsia="仿宋"/>
          <w:sz w:val="32"/>
          <w:szCs w:val="32"/>
        </w:rPr>
        <w:t>万元，其中：</w:t>
      </w:r>
    </w:p>
    <w:p>
      <w:pPr>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204.33</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12.19</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highlight w:val="yellow"/>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年“三公”经费预算数为</w:t>
      </w:r>
      <w:r>
        <w:rPr>
          <w:rFonts w:hint="eastAsia" w:ascii="仿宋" w:hAnsi="仿宋" w:eastAsia="仿宋"/>
          <w:sz w:val="32"/>
          <w:szCs w:val="32"/>
          <w:u w:val="single"/>
        </w:rPr>
        <w:t xml:space="preserve"> 0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0</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年减少</w:t>
      </w:r>
      <w:r>
        <w:rPr>
          <w:rFonts w:hint="eastAsia" w:ascii="仿宋" w:hAnsi="仿宋" w:eastAsia="仿宋"/>
          <w:sz w:val="32"/>
          <w:szCs w:val="32"/>
          <w:u w:val="single"/>
          <w:lang w:val="en-US" w:eastAsia="zh-CN"/>
        </w:rPr>
        <w:t xml:space="preserve">0 </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eastAsia="zh-CN"/>
        </w:rPr>
        <w:t>无需求</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万元，主要原因：我部门202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年部门本级</w:t>
      </w:r>
      <w:r>
        <w:rPr>
          <w:rFonts w:hint="eastAsia" w:ascii="仿宋" w:hAnsi="仿宋" w:eastAsia="仿宋"/>
          <w:sz w:val="32"/>
          <w:szCs w:val="32"/>
          <w:lang w:eastAsia="zh-CN"/>
        </w:rPr>
        <w:t>信访</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家行政单位以及中心等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12.19</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3.09</w:t>
      </w:r>
      <w:r>
        <w:rPr>
          <w:rFonts w:hint="eastAsia" w:ascii="仿宋" w:hAnsi="仿宋" w:eastAsia="仿宋"/>
          <w:sz w:val="32"/>
          <w:szCs w:val="32"/>
        </w:rPr>
        <w:t>万元，增长</w:t>
      </w:r>
      <w:r>
        <w:rPr>
          <w:rFonts w:hint="eastAsia" w:ascii="仿宋" w:hAnsi="仿宋" w:eastAsia="仿宋"/>
          <w:sz w:val="32"/>
          <w:szCs w:val="32"/>
          <w:u w:val="single"/>
          <w:lang w:val="en-US" w:eastAsia="zh-CN"/>
        </w:rPr>
        <w:t>33.08%</w:t>
      </w:r>
      <w:r>
        <w:rPr>
          <w:rFonts w:hint="eastAsia" w:ascii="仿宋" w:hAnsi="仿宋" w:eastAsia="仿宋"/>
          <w:sz w:val="32"/>
          <w:szCs w:val="32"/>
        </w:rPr>
        <w:t>。</w:t>
      </w:r>
      <w:r>
        <w:rPr>
          <w:rFonts w:hint="eastAsia" w:ascii="仿宋" w:hAnsi="仿宋" w:eastAsia="仿宋"/>
          <w:sz w:val="32"/>
          <w:szCs w:val="32"/>
          <w:lang w:eastAsia="zh-CN"/>
        </w:rPr>
        <w:t>主要是工会经费本单位预算</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 w:hAnsi="仿宋" w:eastAsia="仿宋" w:cs="仿宋_GB2312"/>
          <w:kern w:val="0"/>
          <w:sz w:val="32"/>
          <w:szCs w:val="32"/>
          <w:u w:val="single"/>
        </w:rPr>
        <w:t xml:space="preserve"> 0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1</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216.53</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216.53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left="960" w:hanging="960" w:hangingChars="300"/>
        <w:rPr>
          <w:rFonts w:ascii="仿宋" w:hAnsi="仿宋" w:eastAsia="仿宋"/>
          <w:sz w:val="32"/>
          <w:szCs w:val="32"/>
        </w:rPr>
      </w:pPr>
      <w:r>
        <w:rPr>
          <w:rFonts w:hint="eastAsia" w:ascii="楷体" w:hAnsi="楷体" w:eastAsia="楷体"/>
          <w:sz w:val="32"/>
          <w:szCs w:val="32"/>
        </w:rPr>
        <w:t>（五）扶贫资金管理使用情况及绩效目标情况说明。</w:t>
      </w:r>
      <w:r>
        <w:rPr>
          <w:rFonts w:hint="eastAsia" w:ascii="仿宋" w:hAnsi="仿宋" w:eastAsia="仿宋"/>
          <w:sz w:val="32"/>
          <w:szCs w:val="32"/>
        </w:rPr>
        <w:t>本单位无涉及扶贫资金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本单位无政府债务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9</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7217974">
    <w:nsid w:val="63F850B6"/>
    <w:multiLevelType w:val="singleLevel"/>
    <w:tmpl w:val="63F850B6"/>
    <w:lvl w:ilvl="0" w:tentative="1">
      <w:start w:val="1"/>
      <w:numFmt w:val="decimal"/>
      <w:suff w:val="nothing"/>
      <w:lvlText w:val="%1."/>
      <w:lvlJc w:val="left"/>
    </w:lvl>
  </w:abstractNum>
  <w:num w:numId="1">
    <w:abstractNumId w:val="1677217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04A9D"/>
    <w:rsid w:val="00015A4C"/>
    <w:rsid w:val="000337FE"/>
    <w:rsid w:val="00041C59"/>
    <w:rsid w:val="00043AA8"/>
    <w:rsid w:val="0006585B"/>
    <w:rsid w:val="00086B54"/>
    <w:rsid w:val="00096F91"/>
    <w:rsid w:val="000971F3"/>
    <w:rsid w:val="000A1AFA"/>
    <w:rsid w:val="000A6427"/>
    <w:rsid w:val="000C6F7C"/>
    <w:rsid w:val="000F293F"/>
    <w:rsid w:val="00105104"/>
    <w:rsid w:val="001162B6"/>
    <w:rsid w:val="00117E01"/>
    <w:rsid w:val="00137481"/>
    <w:rsid w:val="0014233A"/>
    <w:rsid w:val="00151C9B"/>
    <w:rsid w:val="00160D39"/>
    <w:rsid w:val="00160FBC"/>
    <w:rsid w:val="00174215"/>
    <w:rsid w:val="0019694B"/>
    <w:rsid w:val="001A47B8"/>
    <w:rsid w:val="001A6CD9"/>
    <w:rsid w:val="001B4F21"/>
    <w:rsid w:val="001D15C4"/>
    <w:rsid w:val="001E25E8"/>
    <w:rsid w:val="001E413D"/>
    <w:rsid w:val="001F5E8D"/>
    <w:rsid w:val="00211391"/>
    <w:rsid w:val="00213708"/>
    <w:rsid w:val="0022487F"/>
    <w:rsid w:val="00226F3D"/>
    <w:rsid w:val="00230405"/>
    <w:rsid w:val="00255CD4"/>
    <w:rsid w:val="00266E39"/>
    <w:rsid w:val="00285201"/>
    <w:rsid w:val="002A4D3E"/>
    <w:rsid w:val="002B2ACA"/>
    <w:rsid w:val="002B4B50"/>
    <w:rsid w:val="002E45FB"/>
    <w:rsid w:val="002E550F"/>
    <w:rsid w:val="003044FC"/>
    <w:rsid w:val="003060B7"/>
    <w:rsid w:val="00307386"/>
    <w:rsid w:val="0031342C"/>
    <w:rsid w:val="003139C9"/>
    <w:rsid w:val="00322979"/>
    <w:rsid w:val="00323C72"/>
    <w:rsid w:val="00343F94"/>
    <w:rsid w:val="0036143E"/>
    <w:rsid w:val="003646E6"/>
    <w:rsid w:val="00371B62"/>
    <w:rsid w:val="00371BC9"/>
    <w:rsid w:val="003A4455"/>
    <w:rsid w:val="003A4970"/>
    <w:rsid w:val="003C07B1"/>
    <w:rsid w:val="003D7DD1"/>
    <w:rsid w:val="003E1108"/>
    <w:rsid w:val="003E21A4"/>
    <w:rsid w:val="003E2D5B"/>
    <w:rsid w:val="003E40A5"/>
    <w:rsid w:val="003E6387"/>
    <w:rsid w:val="0042253D"/>
    <w:rsid w:val="00440230"/>
    <w:rsid w:val="00451FE5"/>
    <w:rsid w:val="004573CF"/>
    <w:rsid w:val="00475EF9"/>
    <w:rsid w:val="004773FB"/>
    <w:rsid w:val="00480381"/>
    <w:rsid w:val="00490C1D"/>
    <w:rsid w:val="004970A2"/>
    <w:rsid w:val="004B706F"/>
    <w:rsid w:val="004B70D0"/>
    <w:rsid w:val="004C433B"/>
    <w:rsid w:val="004C45A4"/>
    <w:rsid w:val="004D363A"/>
    <w:rsid w:val="004F0973"/>
    <w:rsid w:val="00505ED6"/>
    <w:rsid w:val="00510F60"/>
    <w:rsid w:val="00512DED"/>
    <w:rsid w:val="005227B8"/>
    <w:rsid w:val="0053665F"/>
    <w:rsid w:val="00542D4C"/>
    <w:rsid w:val="005472B4"/>
    <w:rsid w:val="00552117"/>
    <w:rsid w:val="005526AE"/>
    <w:rsid w:val="00556119"/>
    <w:rsid w:val="0056413E"/>
    <w:rsid w:val="00570F81"/>
    <w:rsid w:val="00576C78"/>
    <w:rsid w:val="00577343"/>
    <w:rsid w:val="00587E83"/>
    <w:rsid w:val="00593341"/>
    <w:rsid w:val="0059715A"/>
    <w:rsid w:val="005B264E"/>
    <w:rsid w:val="005B3F2E"/>
    <w:rsid w:val="005B7595"/>
    <w:rsid w:val="005C7919"/>
    <w:rsid w:val="005D0959"/>
    <w:rsid w:val="005D584E"/>
    <w:rsid w:val="005E5236"/>
    <w:rsid w:val="005F2417"/>
    <w:rsid w:val="005F2DA3"/>
    <w:rsid w:val="006022D4"/>
    <w:rsid w:val="00611AA9"/>
    <w:rsid w:val="00620277"/>
    <w:rsid w:val="006317EE"/>
    <w:rsid w:val="00634839"/>
    <w:rsid w:val="00640514"/>
    <w:rsid w:val="00641243"/>
    <w:rsid w:val="00642B44"/>
    <w:rsid w:val="00643004"/>
    <w:rsid w:val="00653B9E"/>
    <w:rsid w:val="0067255B"/>
    <w:rsid w:val="006A0EE6"/>
    <w:rsid w:val="006A2082"/>
    <w:rsid w:val="006A497D"/>
    <w:rsid w:val="006B41A1"/>
    <w:rsid w:val="006C4305"/>
    <w:rsid w:val="006D5592"/>
    <w:rsid w:val="006F499F"/>
    <w:rsid w:val="007307C3"/>
    <w:rsid w:val="00737A27"/>
    <w:rsid w:val="00742F52"/>
    <w:rsid w:val="007529D0"/>
    <w:rsid w:val="00753C16"/>
    <w:rsid w:val="00783F8A"/>
    <w:rsid w:val="007A00E8"/>
    <w:rsid w:val="007A6ED2"/>
    <w:rsid w:val="007C5A03"/>
    <w:rsid w:val="007E78BC"/>
    <w:rsid w:val="008001B3"/>
    <w:rsid w:val="0080401E"/>
    <w:rsid w:val="00813A99"/>
    <w:rsid w:val="00821F7C"/>
    <w:rsid w:val="008314A5"/>
    <w:rsid w:val="00835E1D"/>
    <w:rsid w:val="008468ED"/>
    <w:rsid w:val="0085478E"/>
    <w:rsid w:val="0086465E"/>
    <w:rsid w:val="00871235"/>
    <w:rsid w:val="00875CA7"/>
    <w:rsid w:val="008770A2"/>
    <w:rsid w:val="00885072"/>
    <w:rsid w:val="00890723"/>
    <w:rsid w:val="0089630C"/>
    <w:rsid w:val="00896FEA"/>
    <w:rsid w:val="008A523F"/>
    <w:rsid w:val="008A5AB8"/>
    <w:rsid w:val="008A6719"/>
    <w:rsid w:val="008C1F95"/>
    <w:rsid w:val="008D39A8"/>
    <w:rsid w:val="008E2CB4"/>
    <w:rsid w:val="008E490F"/>
    <w:rsid w:val="008F322A"/>
    <w:rsid w:val="008F37FF"/>
    <w:rsid w:val="008F5CAA"/>
    <w:rsid w:val="00905715"/>
    <w:rsid w:val="009118B2"/>
    <w:rsid w:val="009127B0"/>
    <w:rsid w:val="0095324A"/>
    <w:rsid w:val="00953C23"/>
    <w:rsid w:val="0096127B"/>
    <w:rsid w:val="00976DE4"/>
    <w:rsid w:val="00993FFC"/>
    <w:rsid w:val="009B2113"/>
    <w:rsid w:val="009D0EC6"/>
    <w:rsid w:val="009D2807"/>
    <w:rsid w:val="009D330A"/>
    <w:rsid w:val="009D58A7"/>
    <w:rsid w:val="00A04FAE"/>
    <w:rsid w:val="00A239B3"/>
    <w:rsid w:val="00A25D6E"/>
    <w:rsid w:val="00A262A5"/>
    <w:rsid w:val="00A3432E"/>
    <w:rsid w:val="00A42EB8"/>
    <w:rsid w:val="00A53E77"/>
    <w:rsid w:val="00A615F1"/>
    <w:rsid w:val="00A77998"/>
    <w:rsid w:val="00A81865"/>
    <w:rsid w:val="00A825B5"/>
    <w:rsid w:val="00A83879"/>
    <w:rsid w:val="00AC1350"/>
    <w:rsid w:val="00AF49A6"/>
    <w:rsid w:val="00B007C8"/>
    <w:rsid w:val="00B44BFD"/>
    <w:rsid w:val="00B60721"/>
    <w:rsid w:val="00B6522F"/>
    <w:rsid w:val="00B67A9E"/>
    <w:rsid w:val="00B74CCE"/>
    <w:rsid w:val="00B84681"/>
    <w:rsid w:val="00B92C71"/>
    <w:rsid w:val="00B96D8F"/>
    <w:rsid w:val="00BB14A5"/>
    <w:rsid w:val="00BC53AC"/>
    <w:rsid w:val="00BC5647"/>
    <w:rsid w:val="00BD2BDC"/>
    <w:rsid w:val="00BD58F0"/>
    <w:rsid w:val="00BD7812"/>
    <w:rsid w:val="00BE624A"/>
    <w:rsid w:val="00BE6B5B"/>
    <w:rsid w:val="00BE6DF3"/>
    <w:rsid w:val="00C131C5"/>
    <w:rsid w:val="00C2239E"/>
    <w:rsid w:val="00C42B27"/>
    <w:rsid w:val="00C51E09"/>
    <w:rsid w:val="00C57B85"/>
    <w:rsid w:val="00C63BEE"/>
    <w:rsid w:val="00C76A23"/>
    <w:rsid w:val="00C77CA6"/>
    <w:rsid w:val="00C84759"/>
    <w:rsid w:val="00C85F5E"/>
    <w:rsid w:val="00CC47BA"/>
    <w:rsid w:val="00CD29AE"/>
    <w:rsid w:val="00CE472E"/>
    <w:rsid w:val="00CE7C4E"/>
    <w:rsid w:val="00CF4F30"/>
    <w:rsid w:val="00D10A84"/>
    <w:rsid w:val="00D22EF7"/>
    <w:rsid w:val="00D25868"/>
    <w:rsid w:val="00D4552B"/>
    <w:rsid w:val="00D632F1"/>
    <w:rsid w:val="00D8669F"/>
    <w:rsid w:val="00DB0231"/>
    <w:rsid w:val="00DC0879"/>
    <w:rsid w:val="00DC46E8"/>
    <w:rsid w:val="00DF13BF"/>
    <w:rsid w:val="00E03AF9"/>
    <w:rsid w:val="00E104B4"/>
    <w:rsid w:val="00E115D0"/>
    <w:rsid w:val="00E233E9"/>
    <w:rsid w:val="00E32EC0"/>
    <w:rsid w:val="00E4103C"/>
    <w:rsid w:val="00E42C47"/>
    <w:rsid w:val="00E602C6"/>
    <w:rsid w:val="00E6642D"/>
    <w:rsid w:val="00E745C7"/>
    <w:rsid w:val="00E811E8"/>
    <w:rsid w:val="00E82B77"/>
    <w:rsid w:val="00E904F2"/>
    <w:rsid w:val="00EB4996"/>
    <w:rsid w:val="00EB5EFC"/>
    <w:rsid w:val="00EB7129"/>
    <w:rsid w:val="00EC3348"/>
    <w:rsid w:val="00EC67E1"/>
    <w:rsid w:val="00EC6D50"/>
    <w:rsid w:val="00EC6FCF"/>
    <w:rsid w:val="00EE0A42"/>
    <w:rsid w:val="00F00AB4"/>
    <w:rsid w:val="00F00FDB"/>
    <w:rsid w:val="00F06045"/>
    <w:rsid w:val="00F07089"/>
    <w:rsid w:val="00F21E99"/>
    <w:rsid w:val="00F4454F"/>
    <w:rsid w:val="00F50409"/>
    <w:rsid w:val="00F62D1D"/>
    <w:rsid w:val="00F837E1"/>
    <w:rsid w:val="00F96845"/>
    <w:rsid w:val="00FB07EE"/>
    <w:rsid w:val="01DF150E"/>
    <w:rsid w:val="08602EE2"/>
    <w:rsid w:val="110A3E97"/>
    <w:rsid w:val="1449792A"/>
    <w:rsid w:val="170767D7"/>
    <w:rsid w:val="18DB1BD5"/>
    <w:rsid w:val="1B0277E3"/>
    <w:rsid w:val="1B375D24"/>
    <w:rsid w:val="1C346454"/>
    <w:rsid w:val="1D954D97"/>
    <w:rsid w:val="1E012619"/>
    <w:rsid w:val="20D970F2"/>
    <w:rsid w:val="237A41C3"/>
    <w:rsid w:val="2B035E9D"/>
    <w:rsid w:val="2B1020EE"/>
    <w:rsid w:val="35980C76"/>
    <w:rsid w:val="35D510E8"/>
    <w:rsid w:val="37460B3B"/>
    <w:rsid w:val="3C824588"/>
    <w:rsid w:val="3F744629"/>
    <w:rsid w:val="3F7E3672"/>
    <w:rsid w:val="408B6921"/>
    <w:rsid w:val="415C44C9"/>
    <w:rsid w:val="416702DC"/>
    <w:rsid w:val="46015167"/>
    <w:rsid w:val="4A7D0844"/>
    <w:rsid w:val="4ED25C59"/>
    <w:rsid w:val="50E87B49"/>
    <w:rsid w:val="520B76F9"/>
    <w:rsid w:val="53861468"/>
    <w:rsid w:val="57CC0FC7"/>
    <w:rsid w:val="58237526"/>
    <w:rsid w:val="5D094830"/>
    <w:rsid w:val="5F991667"/>
    <w:rsid w:val="626752E2"/>
    <w:rsid w:val="63B55975"/>
    <w:rsid w:val="669E7FD2"/>
    <w:rsid w:val="6B39651C"/>
    <w:rsid w:val="6B681DC7"/>
    <w:rsid w:val="6CB155E2"/>
    <w:rsid w:val="72477770"/>
    <w:rsid w:val="7828402F"/>
    <w:rsid w:val="7EE54599"/>
  </w:rsids>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33C57-9D89-43E2-A6F5-3EAD1AA85604}">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3842</Characters>
  <Lines>32</Lines>
  <Paragraphs>9</Paragraphs>
  <ScaleCrop>false</ScaleCrop>
  <LinksUpToDate>false</LinksUpToDate>
  <CharactersWithSpaces>4507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2022-03-10T09:55:00Z</cp:lastPrinted>
  <dcterms:modified xsi:type="dcterms:W3CDTF">2024-02-05T10:15:42Z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183BF18A63B341BCA629C40766A8FA21</vt:lpwstr>
  </property>
</Properties>
</file>