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仿宋" w:hAnsi="仿宋" w:eastAsia="仿宋"/>
          <w:sz w:val="32"/>
          <w:szCs w:val="32"/>
        </w:rPr>
      </w:pPr>
      <w:r>
        <w:rPr>
          <w:rFonts w:ascii="仿宋" w:hAnsi="仿宋" w:eastAsia="仿宋" w:cs="宋体"/>
          <w:color w:val="000000"/>
          <w:kern w:val="0"/>
          <w:sz w:val="32"/>
          <w:szCs w:val="32"/>
        </w:rPr>
        <w:t>2024</w:t>
      </w:r>
      <w:r>
        <w:rPr>
          <w:rFonts w:hint="eastAsia" w:ascii="仿宋" w:hAnsi="仿宋" w:eastAsia="仿宋" w:cs="宋体"/>
          <w:color w:val="000000"/>
          <w:kern w:val="0"/>
          <w:sz w:val="32"/>
          <w:szCs w:val="32"/>
        </w:rPr>
        <w:t>年部门（单位）预算信息公开模板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w:t>
      </w:r>
      <w:r>
        <w:rPr>
          <w:rFonts w:hint="eastAsia" w:ascii="仿宋" w:hAnsi="仿宋" w:eastAsia="仿宋"/>
          <w:sz w:val="32"/>
          <w:szCs w:val="32"/>
        </w:rPr>
        <w:t>单位</w:t>
      </w:r>
      <w:r>
        <w:rPr>
          <w:rFonts w:ascii="仿宋" w:hAnsi="仿宋" w:eastAsia="仿宋"/>
          <w:sz w:val="32"/>
          <w:szCs w:val="32"/>
        </w:rPr>
        <w:t>和涉密信息不予公开）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嘉黎县夏玛乡小学</w:t>
      </w:r>
      <w:r>
        <w:rPr>
          <w:rFonts w:hint="eastAsia" w:ascii="方正小标宋简体" w:hAnsi="仿宋" w:eastAsia="方正小标宋简体"/>
          <w:sz w:val="44"/>
          <w:szCs w:val="44"/>
        </w:rPr>
        <w:t>（部门/单位）2024年度部门（单位）预算</w:t>
      </w:r>
    </w:p>
    <w:p>
      <w:pPr>
        <w:rPr>
          <w:rFonts w:ascii="仿宋" w:hAnsi="仿宋" w:eastAsia="仿宋"/>
          <w:sz w:val="32"/>
          <w:szCs w:val="32"/>
        </w:rPr>
      </w:pPr>
    </w:p>
    <w:p>
      <w:pPr>
        <w:ind w:firstLine="640" w:firstLineChars="200"/>
        <w:rPr>
          <w:rFonts w:hint="eastAsia" w:ascii="仿宋" w:hAnsi="仿宋" w:eastAsia="仿宋"/>
          <w:sz w:val="32"/>
          <w:szCs w:val="32"/>
        </w:rPr>
      </w:pPr>
      <w:r>
        <w:rPr>
          <w:rFonts w:hint="eastAsia" w:ascii="仿宋" w:hAnsi="仿宋" w:eastAsia="仿宋"/>
          <w:sz w:val="32"/>
          <w:szCs w:val="32"/>
        </w:rPr>
        <w:t>（部门整体</w:t>
      </w:r>
      <w:r>
        <w:rPr>
          <w:rFonts w:ascii="仿宋" w:hAnsi="仿宋" w:eastAsia="仿宋"/>
          <w:sz w:val="32"/>
          <w:szCs w:val="32"/>
        </w:rPr>
        <w:t>预算需要公开，如有二三级单位，则机关预算</w:t>
      </w:r>
      <w:r>
        <w:rPr>
          <w:rFonts w:hint="eastAsia" w:ascii="仿宋" w:hAnsi="仿宋" w:eastAsia="仿宋"/>
          <w:sz w:val="32"/>
          <w:szCs w:val="32"/>
        </w:rPr>
        <w:t>也</w:t>
      </w:r>
      <w:r>
        <w:rPr>
          <w:rFonts w:ascii="仿宋" w:hAnsi="仿宋" w:eastAsia="仿宋"/>
          <w:sz w:val="32"/>
          <w:szCs w:val="32"/>
        </w:rPr>
        <w:t>需要单独公开、二三级单位</w:t>
      </w:r>
      <w:r>
        <w:rPr>
          <w:rFonts w:hint="eastAsia" w:ascii="仿宋" w:hAnsi="仿宋" w:eastAsia="仿宋"/>
          <w:sz w:val="32"/>
          <w:szCs w:val="32"/>
        </w:rPr>
        <w:t>预算</w:t>
      </w:r>
      <w:r>
        <w:rPr>
          <w:rFonts w:ascii="仿宋" w:hAnsi="仿宋" w:eastAsia="仿宋"/>
          <w:sz w:val="32"/>
          <w:szCs w:val="32"/>
        </w:rPr>
        <w:t>也需要单独公开</w:t>
      </w:r>
      <w:r>
        <w:rPr>
          <w:rFonts w:hint="eastAsia" w:ascii="仿宋" w:hAnsi="仿宋" w:eastAsia="仿宋"/>
          <w:sz w:val="32"/>
          <w:szCs w:val="32"/>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年</w:t>
      </w:r>
      <w:r>
        <w:rPr>
          <w:rFonts w:hint="eastAsia" w:ascii="仿宋" w:hAnsi="仿宋" w:eastAsia="仿宋"/>
          <w:sz w:val="32"/>
          <w:szCs w:val="32"/>
          <w:lang w:val="en-US" w:eastAsia="zh-CN"/>
        </w:rPr>
        <w:t>1</w:t>
      </w:r>
      <w:r>
        <w:rPr>
          <w:rFonts w:hint="eastAsia" w:ascii="仿宋" w:hAnsi="仿宋" w:eastAsia="仿宋"/>
          <w:sz w:val="32"/>
          <w:szCs w:val="32"/>
        </w:rPr>
        <w:t xml:space="preserve">月 </w:t>
      </w:r>
      <w:r>
        <w:rPr>
          <w:rFonts w:hint="eastAsia" w:ascii="仿宋" w:hAnsi="仿宋" w:eastAsia="仿宋"/>
          <w:sz w:val="32"/>
          <w:szCs w:val="32"/>
          <w:lang w:val="en-US" w:eastAsia="zh-CN"/>
        </w:rPr>
        <w:t>31</w:t>
      </w:r>
      <w:r>
        <w:rPr>
          <w:rFonts w:hint="eastAsia" w:ascii="仿宋" w:hAnsi="仿宋" w:eastAsia="仿宋"/>
          <w:sz w:val="32"/>
          <w:szCs w:val="32"/>
        </w:rPr>
        <w:t>日</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嘉黎县夏玛乡小学</w:t>
      </w:r>
      <w:r>
        <w:rPr>
          <w:rFonts w:hint="eastAsia" w:ascii="方正小标宋简体" w:hAnsi="仿宋" w:eastAsia="方正小标宋简体"/>
          <w:sz w:val="32"/>
          <w:szCs w:val="32"/>
        </w:rPr>
        <w:t>部门/单位）概况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w:t>
      </w:r>
      <w:r>
        <w:rPr>
          <w:rFonts w:hint="eastAsia" w:ascii="方正小标宋简体" w:hAnsi="仿宋" w:eastAsia="方正小标宋简体"/>
          <w:sz w:val="32"/>
          <w:szCs w:val="32"/>
        </w:rPr>
        <w:t>单位</w:t>
      </w:r>
      <w:r>
        <w:rPr>
          <w:rFonts w:hint="eastAsia" w:ascii="黑体" w:hAnsi="黑体" w:eastAsia="黑体"/>
          <w:sz w:val="32"/>
          <w:szCs w:val="32"/>
        </w:rPr>
        <w:t>）机构设置</w:t>
      </w:r>
      <w:r>
        <w:rPr>
          <w:rFonts w:ascii="黑体" w:hAnsi="黑体" w:eastAsia="黑体"/>
          <w:sz w:val="32"/>
          <w:szCs w:val="32"/>
        </w:rPr>
        <w:t>情况</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嘉黎县夏玛乡小学</w:t>
      </w:r>
      <w:r>
        <w:rPr>
          <w:rFonts w:hint="eastAsia" w:ascii="方正小标宋简体" w:hAnsi="仿宋" w:eastAsia="方正小标宋简体"/>
          <w:sz w:val="32"/>
          <w:szCs w:val="32"/>
        </w:rPr>
        <w:t>（部门/单位）部门（单位）预算明细表</w:t>
      </w:r>
    </w:p>
    <w:p>
      <w:pPr>
        <w:jc w:val="left"/>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嘉黎县夏玛乡小学</w:t>
      </w:r>
      <w:r>
        <w:rPr>
          <w:rFonts w:hint="eastAsia" w:ascii="方正小标宋简体" w:hAnsi="仿宋" w:eastAsia="方正小标宋简体"/>
          <w:sz w:val="32"/>
          <w:szCs w:val="32"/>
        </w:rPr>
        <w:t>（部门/单位）部门（单位）预算数据分析</w:t>
      </w:r>
    </w:p>
    <w:p>
      <w:pPr>
        <w:rPr>
          <w:rFonts w:ascii="黑体" w:hAnsi="黑体" w:eastAsia="黑体"/>
          <w:sz w:val="32"/>
          <w:szCs w:val="32"/>
        </w:rPr>
      </w:pPr>
      <w:r>
        <w:rPr>
          <w:rFonts w:hint="eastAsia" w:ascii="黑体" w:hAnsi="黑体" w:eastAsia="黑体"/>
          <w:sz w:val="32"/>
          <w:szCs w:val="32"/>
        </w:rPr>
        <w:t>一、部门/单位收支总体情况</w:t>
      </w:r>
    </w:p>
    <w:p>
      <w:pPr>
        <w:rPr>
          <w:rFonts w:ascii="黑体" w:hAnsi="黑体" w:eastAsia="黑体"/>
          <w:sz w:val="32"/>
          <w:szCs w:val="32"/>
        </w:rPr>
      </w:pPr>
      <w:r>
        <w:rPr>
          <w:rFonts w:hint="eastAsia" w:ascii="黑体" w:hAnsi="黑体" w:eastAsia="黑体"/>
          <w:sz w:val="32"/>
          <w:szCs w:val="32"/>
        </w:rPr>
        <w:t>二、部门/单位收入总体情况</w:t>
      </w:r>
    </w:p>
    <w:p>
      <w:pPr>
        <w:rPr>
          <w:rFonts w:ascii="黑体" w:hAnsi="黑体" w:eastAsia="黑体"/>
          <w:sz w:val="32"/>
          <w:szCs w:val="32"/>
        </w:rPr>
      </w:pPr>
      <w:r>
        <w:rPr>
          <w:rFonts w:hint="eastAsia" w:ascii="黑体" w:hAnsi="黑体" w:eastAsia="黑体"/>
          <w:sz w:val="32"/>
          <w:szCs w:val="32"/>
        </w:rPr>
        <w:t>三、部门/单位支出总体情况</w:t>
      </w:r>
    </w:p>
    <w:p>
      <w:pPr>
        <w:rPr>
          <w:rFonts w:ascii="黑体" w:hAnsi="黑体" w:eastAsia="黑体"/>
          <w:sz w:val="32"/>
          <w:szCs w:val="32"/>
        </w:rPr>
      </w:pPr>
      <w:r>
        <w:rPr>
          <w:rFonts w:hint="eastAsia" w:ascii="黑体" w:hAnsi="黑体" w:eastAsia="黑体"/>
          <w:sz w:val="32"/>
          <w:szCs w:val="32"/>
        </w:rPr>
        <w:t>四、财政拨款收支总体情况</w:t>
      </w:r>
    </w:p>
    <w:p>
      <w:pPr>
        <w:rPr>
          <w:rFonts w:ascii="黑体" w:hAnsi="黑体" w:eastAsia="黑体"/>
          <w:sz w:val="32"/>
          <w:szCs w:val="32"/>
        </w:rPr>
      </w:pPr>
      <w:r>
        <w:rPr>
          <w:rFonts w:hint="eastAsia" w:ascii="黑体" w:hAnsi="黑体" w:eastAsia="黑体"/>
          <w:sz w:val="32"/>
          <w:szCs w:val="32"/>
        </w:rPr>
        <w:t>五、一般公共预算支出总体情况（按功能分类科目）</w:t>
      </w:r>
    </w:p>
    <w:p>
      <w:pPr>
        <w:rPr>
          <w:rFonts w:ascii="黑体" w:hAnsi="黑体" w:eastAsia="黑体"/>
          <w:sz w:val="32"/>
          <w:szCs w:val="32"/>
        </w:rPr>
      </w:pPr>
      <w:r>
        <w:rPr>
          <w:rFonts w:hint="eastAsia" w:ascii="黑体" w:hAnsi="黑体" w:eastAsia="黑体"/>
          <w:sz w:val="32"/>
          <w:szCs w:val="32"/>
        </w:rPr>
        <w:t>六、一般公共预算基本支出总体情况（按经济分类款级科目）</w:t>
      </w:r>
    </w:p>
    <w:p>
      <w:pPr>
        <w:rPr>
          <w:rFonts w:ascii="黑体" w:hAnsi="黑体" w:eastAsia="黑体"/>
          <w:sz w:val="32"/>
          <w:szCs w:val="32"/>
        </w:rPr>
      </w:pPr>
      <w:r>
        <w:rPr>
          <w:rFonts w:hint="eastAsia" w:ascii="黑体" w:hAnsi="黑体" w:eastAsia="黑体"/>
          <w:sz w:val="32"/>
          <w:szCs w:val="32"/>
        </w:rPr>
        <w:t>七、一般公共预算“三公”经费支出总体情况</w:t>
      </w:r>
    </w:p>
    <w:p>
      <w:pPr>
        <w:rPr>
          <w:rFonts w:ascii="黑体" w:hAnsi="黑体" w:eastAsia="黑体"/>
          <w:sz w:val="32"/>
          <w:szCs w:val="32"/>
        </w:rPr>
      </w:pPr>
      <w:r>
        <w:rPr>
          <w:rFonts w:hint="eastAsia" w:ascii="黑体" w:hAnsi="黑体" w:eastAsia="黑体"/>
          <w:sz w:val="32"/>
          <w:szCs w:val="32"/>
        </w:rPr>
        <w:t>八、政府性基金预算支出总体情况</w:t>
      </w:r>
    </w:p>
    <w:p>
      <w:pPr>
        <w:rPr>
          <w:rFonts w:ascii="黑体" w:hAnsi="黑体" w:eastAsia="黑体"/>
          <w:sz w:val="32"/>
          <w:szCs w:val="32"/>
        </w:rPr>
      </w:pPr>
      <w:r>
        <w:rPr>
          <w:rFonts w:hint="eastAsia" w:ascii="黑体" w:hAnsi="黑体" w:eastAsia="黑体"/>
          <w:sz w:val="32"/>
          <w:szCs w:val="32"/>
        </w:rPr>
        <w:t>九、政府性基金“三公”经费支出总体情况</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w:t>
      </w:r>
      <w:r>
        <w:rPr>
          <w:rFonts w:ascii="黑体" w:hAnsi="黑体" w:eastAsia="黑体"/>
          <w:sz w:val="32"/>
          <w:szCs w:val="32"/>
        </w:rPr>
        <w:t>事项情况说明</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嘉黎县夏玛乡小学</w:t>
      </w:r>
      <w:r>
        <w:rPr>
          <w:rFonts w:hint="eastAsia" w:ascii="方正小标宋简体" w:hAnsi="仿宋" w:eastAsia="方正小标宋简体"/>
          <w:sz w:val="32"/>
          <w:szCs w:val="32"/>
        </w:rPr>
        <w:t>（部门/单位）概况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hint="eastAsia" w:ascii="仿宋" w:hAnsi="仿宋" w:eastAsia="仿宋"/>
          <w:sz w:val="32"/>
          <w:szCs w:val="32"/>
        </w:rPr>
      </w:pPr>
      <w:r>
        <w:rPr>
          <w:rFonts w:hint="eastAsia" w:ascii="仿宋" w:hAnsi="仿宋" w:eastAsia="仿宋"/>
          <w:sz w:val="32"/>
          <w:szCs w:val="32"/>
        </w:rPr>
        <w:t>单位</w:t>
      </w:r>
      <w:r>
        <w:rPr>
          <w:rFonts w:ascii="仿宋" w:hAnsi="仿宋" w:eastAsia="仿宋"/>
          <w:sz w:val="32"/>
          <w:szCs w:val="32"/>
        </w:rPr>
        <w:t>总体情况</w:t>
      </w:r>
      <w:r>
        <w:rPr>
          <w:rFonts w:hint="eastAsia"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组织部门印发的“三定”方案文件，规定的部门（单位）主要职责。</w:t>
      </w:r>
      <w:r>
        <w:rPr>
          <w:rFonts w:hint="eastAsia" w:ascii="仿宋" w:hAnsi="仿宋" w:eastAsia="仿宋"/>
          <w:sz w:val="32"/>
          <w:szCs w:val="32"/>
          <w:lang w:eastAsia="zh-CN"/>
        </w:rPr>
        <w:t>我校无独立的三定方案。</w:t>
      </w:r>
    </w:p>
    <w:p>
      <w:pPr>
        <w:rPr>
          <w:rFonts w:ascii="黑体" w:hAnsi="黑体" w:eastAsia="黑体"/>
          <w:sz w:val="32"/>
          <w:szCs w:val="32"/>
        </w:rPr>
      </w:pPr>
      <w:r>
        <w:rPr>
          <w:rFonts w:hint="eastAsia" w:ascii="黑体" w:hAnsi="黑体" w:eastAsia="黑体"/>
          <w:sz w:val="32"/>
          <w:szCs w:val="32"/>
        </w:rPr>
        <w:t>二、部门（单位）机构设置</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仿宋" w:hAnsi="仿宋" w:eastAsia="仿宋"/>
          <w:sz w:val="32"/>
          <w:szCs w:val="32"/>
        </w:rPr>
        <w:t>部门（单位）内设</w:t>
      </w:r>
      <w:r>
        <w:rPr>
          <w:rFonts w:hint="eastAsia" w:ascii="仿宋" w:hAnsi="仿宋" w:eastAsia="仿宋"/>
          <w:sz w:val="32"/>
          <w:szCs w:val="32"/>
          <w:u w:val="single"/>
        </w:rPr>
        <w:t xml:space="preserve">   </w:t>
      </w:r>
      <w:r>
        <w:rPr>
          <w:rFonts w:hint="eastAsia" w:ascii="仿宋" w:hAnsi="仿宋" w:eastAsia="仿宋"/>
          <w:sz w:val="32"/>
          <w:szCs w:val="32"/>
        </w:rPr>
        <w:t>个机构、</w:t>
      </w:r>
      <w:r>
        <w:rPr>
          <w:rFonts w:hint="eastAsia" w:ascii="仿宋" w:hAnsi="仿宋" w:eastAsia="仿宋"/>
          <w:sz w:val="32"/>
          <w:szCs w:val="32"/>
          <w:u w:val="single"/>
        </w:rPr>
        <w:t xml:space="preserve">   </w:t>
      </w:r>
      <w:r>
        <w:rPr>
          <w:rFonts w:hint="eastAsia" w:ascii="仿宋" w:hAnsi="仿宋" w:eastAsia="仿宋"/>
          <w:sz w:val="32"/>
          <w:szCs w:val="32"/>
        </w:rPr>
        <w:t>个处（详细到</w:t>
      </w:r>
      <w:r>
        <w:rPr>
          <w:rFonts w:hint="eastAsia" w:ascii="仿宋" w:hAnsi="仿宋" w:eastAsia="仿宋"/>
          <w:sz w:val="32"/>
          <w:szCs w:val="32"/>
          <w:u w:val="single"/>
        </w:rPr>
        <w:t xml:space="preserve">   </w:t>
      </w:r>
      <w:r>
        <w:rPr>
          <w:rFonts w:hint="eastAsia" w:ascii="仿宋" w:hAnsi="仿宋" w:eastAsia="仿宋"/>
          <w:sz w:val="32"/>
          <w:szCs w:val="32"/>
        </w:rPr>
        <w:t>个二级单位、</w:t>
      </w:r>
      <w:r>
        <w:rPr>
          <w:rFonts w:hint="eastAsia" w:ascii="仿宋" w:hAnsi="仿宋" w:eastAsia="仿宋"/>
          <w:sz w:val="32"/>
          <w:szCs w:val="32"/>
          <w:u w:val="single"/>
        </w:rPr>
        <w:t xml:space="preserve">   </w:t>
      </w:r>
      <w:r>
        <w:rPr>
          <w:rFonts w:hint="eastAsia" w:ascii="仿宋" w:hAnsi="仿宋" w:eastAsia="仿宋"/>
          <w:sz w:val="32"/>
          <w:szCs w:val="32"/>
        </w:rPr>
        <w:t>个三级预算单位。</w:t>
      </w:r>
    </w:p>
    <w:p>
      <w:pPr>
        <w:ind w:firstLine="640" w:firstLineChars="200"/>
        <w:rPr>
          <w:rFonts w:ascii="仿宋" w:hAnsi="仿宋" w:eastAsia="仿宋"/>
          <w:sz w:val="32"/>
          <w:szCs w:val="32"/>
        </w:rPr>
      </w:pPr>
      <w:r>
        <w:rPr>
          <w:rFonts w:hint="eastAsia" w:ascii="仿宋" w:hAnsi="仿宋" w:eastAsia="仿宋"/>
          <w:sz w:val="32"/>
          <w:szCs w:val="32"/>
        </w:rPr>
        <w:t>纳入本部门（单位）预算编制范围的二级预算单位包括：</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嘉黎县夏玛乡小学</w:t>
      </w:r>
      <w:r>
        <w:rPr>
          <w:rFonts w:hint="eastAsia" w:ascii="方正小标宋简体" w:hAnsi="仿宋" w:eastAsia="方正小标宋简体"/>
          <w:sz w:val="32"/>
          <w:szCs w:val="32"/>
        </w:rPr>
        <w:t>（部门/单位）2024年度预算明细表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ind w:firstLine="640" w:firstLineChars="200"/>
        <w:rPr>
          <w:rFonts w:hint="eastAsia" w:ascii="仿宋" w:hAnsi="仿宋" w:eastAsia="仿宋"/>
          <w:sz w:val="32"/>
          <w:szCs w:val="32"/>
        </w:rPr>
      </w:pPr>
      <w:r>
        <w:rPr>
          <w:rFonts w:hint="eastAsia" w:ascii="仿宋" w:hAnsi="仿宋" w:eastAsia="仿宋"/>
          <w:sz w:val="32"/>
          <w:szCs w:val="32"/>
        </w:rPr>
        <w:t>（1.部门整体</w:t>
      </w:r>
      <w:r>
        <w:rPr>
          <w:rFonts w:ascii="仿宋" w:hAnsi="仿宋" w:eastAsia="仿宋"/>
          <w:sz w:val="32"/>
          <w:szCs w:val="32"/>
        </w:rPr>
        <w:t>预算表应包括机关和所有二三级单位的汇总预算</w:t>
      </w:r>
      <w:r>
        <w:rPr>
          <w:rFonts w:hint="eastAsia" w:ascii="仿宋" w:hAnsi="仿宋" w:eastAsia="仿宋"/>
          <w:sz w:val="32"/>
          <w:szCs w:val="32"/>
        </w:rPr>
        <w:t>；2.部门</w:t>
      </w:r>
      <w:r>
        <w:rPr>
          <w:rFonts w:ascii="仿宋" w:hAnsi="仿宋" w:eastAsia="仿宋"/>
          <w:sz w:val="32"/>
          <w:szCs w:val="32"/>
        </w:rPr>
        <w:t>机关的预算</w:t>
      </w:r>
      <w:r>
        <w:rPr>
          <w:rFonts w:hint="eastAsia" w:ascii="仿宋" w:hAnsi="仿宋" w:eastAsia="仿宋"/>
          <w:sz w:val="32"/>
          <w:szCs w:val="32"/>
        </w:rPr>
        <w:t>应</w:t>
      </w:r>
      <w:r>
        <w:rPr>
          <w:rFonts w:ascii="仿宋" w:hAnsi="仿宋" w:eastAsia="仿宋"/>
          <w:sz w:val="32"/>
          <w:szCs w:val="32"/>
        </w:rPr>
        <w:t>单独公开；</w:t>
      </w:r>
      <w:r>
        <w:rPr>
          <w:rFonts w:hint="eastAsia" w:ascii="仿宋" w:hAnsi="仿宋" w:eastAsia="仿宋"/>
          <w:sz w:val="32"/>
          <w:szCs w:val="32"/>
        </w:rPr>
        <w:t>3.部门</w:t>
      </w:r>
      <w:r>
        <w:rPr>
          <w:rFonts w:ascii="仿宋" w:hAnsi="仿宋" w:eastAsia="仿宋"/>
          <w:sz w:val="32"/>
          <w:szCs w:val="32"/>
        </w:rPr>
        <w:t>所属二、三级单位的预算也应单独公开</w:t>
      </w:r>
      <w:r>
        <w:rPr>
          <w:rFonts w:hint="eastAsia" w:ascii="仿宋" w:hAnsi="仿宋" w:eastAsia="仿宋"/>
          <w:sz w:val="32"/>
          <w:szCs w:val="32"/>
        </w:rPr>
        <w:t>）</w:t>
      </w:r>
    </w:p>
    <w:p>
      <w:pPr>
        <w:rPr>
          <w:rFonts w:ascii="仿宋" w:hAnsi="仿宋" w:eastAsia="仿宋"/>
          <w:sz w:val="32"/>
          <w:szCs w:val="32"/>
        </w:rPr>
      </w:pPr>
    </w:p>
    <w:p>
      <w:pPr>
        <w:rPr>
          <w:rFonts w:ascii="仿宋" w:hAnsi="仿宋" w:eastAsia="仿宋"/>
          <w:sz w:val="32"/>
          <w:szCs w:val="32"/>
        </w:rPr>
      </w:pPr>
    </w:p>
    <w:p>
      <w:pPr>
        <w:jc w:val="both"/>
        <w:rPr>
          <w:rFonts w:hint="eastAsia"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嘉黎县夏玛乡小学</w:t>
      </w:r>
      <w:r>
        <w:rPr>
          <w:rFonts w:hint="eastAsia" w:ascii="方正小标宋简体" w:hAnsi="仿宋" w:eastAsia="方正小标宋简体"/>
          <w:sz w:val="32"/>
          <w:szCs w:val="32"/>
        </w:rPr>
        <w:t>部门/单位）2024年度部门（单位）预算数据分析</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一、部门（单位）收支总体情况</w:t>
      </w:r>
    </w:p>
    <w:p>
      <w:pPr>
        <w:ind w:firstLine="640" w:firstLineChars="200"/>
        <w:rPr>
          <w:rFonts w:ascii="仿宋" w:hAnsi="仿宋" w:eastAsia="仿宋"/>
          <w:sz w:val="32"/>
          <w:szCs w:val="32"/>
        </w:rPr>
      </w:pPr>
      <w:r>
        <w:rPr>
          <w:rFonts w:hint="eastAsia" w:ascii="仿宋" w:hAnsi="仿宋" w:eastAsia="仿宋"/>
          <w:sz w:val="32"/>
          <w:szCs w:val="32"/>
        </w:rPr>
        <w:t>收支总预算</w:t>
      </w:r>
      <w:r>
        <w:rPr>
          <w:rFonts w:hint="eastAsia" w:ascii="仿宋" w:hAnsi="仿宋" w:eastAsia="仿宋"/>
          <w:sz w:val="32"/>
          <w:szCs w:val="32"/>
          <w:u w:val="single"/>
          <w:lang w:val="en-US" w:eastAsia="zh-CN"/>
        </w:rPr>
        <w:t>1090.78</w:t>
      </w:r>
      <w:r>
        <w:rPr>
          <w:rFonts w:hint="eastAsia" w:ascii="仿宋" w:hAnsi="仿宋" w:eastAsia="仿宋"/>
          <w:sz w:val="32"/>
          <w:szCs w:val="32"/>
        </w:rPr>
        <w:t>万元。收入包括：一般公共预算拨款收入；支出包括：教育支出、社会保障和就业支出、卫生健康支出、住房保障支出。</w:t>
      </w:r>
    </w:p>
    <w:p>
      <w:pPr>
        <w:ind w:firstLine="640" w:firstLineChars="200"/>
        <w:rPr>
          <w:rFonts w:ascii="黑体" w:hAnsi="黑体" w:eastAsia="黑体"/>
          <w:sz w:val="32"/>
          <w:szCs w:val="32"/>
        </w:rPr>
      </w:pPr>
      <w:r>
        <w:rPr>
          <w:rFonts w:hint="eastAsia" w:ascii="黑体" w:hAnsi="黑体" w:eastAsia="黑体"/>
          <w:sz w:val="32"/>
          <w:szCs w:val="32"/>
        </w:rPr>
        <w:t>二、部门（单位）收入总体情况</w:t>
      </w:r>
    </w:p>
    <w:p>
      <w:pPr>
        <w:ind w:firstLine="640" w:firstLineChars="200"/>
        <w:rPr>
          <w:rFonts w:ascii="仿宋" w:hAnsi="仿宋" w:eastAsia="仿宋"/>
          <w:sz w:val="32"/>
          <w:szCs w:val="32"/>
        </w:rPr>
      </w:pPr>
      <w:r>
        <w:rPr>
          <w:rFonts w:hint="eastAsia" w:ascii="仿宋" w:hAnsi="仿宋" w:eastAsia="仿宋"/>
          <w:sz w:val="32"/>
          <w:szCs w:val="32"/>
        </w:rPr>
        <w:t>收入预算总量</w:t>
      </w:r>
      <w:r>
        <w:rPr>
          <w:rFonts w:hint="eastAsia" w:ascii="仿宋" w:hAnsi="仿宋" w:eastAsia="仿宋"/>
          <w:sz w:val="32"/>
          <w:szCs w:val="32"/>
          <w:u w:val="single"/>
          <w:lang w:val="en-US" w:eastAsia="zh-CN"/>
        </w:rPr>
        <w:t>1090.78</w:t>
      </w:r>
      <w:r>
        <w:rPr>
          <w:rFonts w:hint="eastAsia" w:ascii="仿宋" w:hAnsi="仿宋" w:eastAsia="仿宋"/>
          <w:sz w:val="32"/>
          <w:szCs w:val="32"/>
        </w:rPr>
        <w:t>万元，同比增加</w:t>
      </w:r>
      <w:r>
        <w:rPr>
          <w:rFonts w:hint="eastAsia" w:ascii="仿宋" w:hAnsi="仿宋" w:eastAsia="仿宋"/>
          <w:sz w:val="32"/>
          <w:szCs w:val="32"/>
          <w:lang w:val="en-US" w:eastAsia="zh-CN"/>
        </w:rPr>
        <w:t>1090.78</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lang w:eastAsia="zh-CN"/>
        </w:rPr>
        <w:t>新增二级预算单位</w:t>
      </w:r>
      <w:r>
        <w:rPr>
          <w:rFonts w:hint="eastAsia" w:ascii="仿宋" w:hAnsi="仿宋" w:eastAsia="仿宋"/>
          <w:sz w:val="32"/>
          <w:szCs w:val="32"/>
        </w:rPr>
        <w:t>。其中：2</w:t>
      </w:r>
      <w:r>
        <w:rPr>
          <w:rFonts w:ascii="仿宋" w:hAnsi="仿宋" w:eastAsia="仿宋"/>
          <w:sz w:val="32"/>
          <w:szCs w:val="32"/>
        </w:rPr>
        <w:t>024</w:t>
      </w:r>
      <w:r>
        <w:rPr>
          <w:rFonts w:hint="eastAsia" w:ascii="仿宋" w:hAnsi="仿宋" w:eastAsia="仿宋"/>
          <w:sz w:val="32"/>
          <w:szCs w:val="32"/>
        </w:rPr>
        <w:t>年一般公共预算拨款收入</w:t>
      </w:r>
      <w:r>
        <w:rPr>
          <w:rFonts w:hint="eastAsia" w:ascii="仿宋" w:hAnsi="仿宋" w:eastAsia="仿宋"/>
          <w:sz w:val="32"/>
          <w:szCs w:val="32"/>
          <w:u w:val="single"/>
          <w:lang w:val="en-US" w:eastAsia="zh-CN"/>
        </w:rPr>
        <w:t>1090.78</w:t>
      </w:r>
      <w:r>
        <w:rPr>
          <w:rFonts w:hint="eastAsia" w:ascii="仿宋" w:hAnsi="仿宋" w:eastAsia="仿宋"/>
          <w:sz w:val="32"/>
          <w:szCs w:val="32"/>
        </w:rPr>
        <w:t>万元，占</w:t>
      </w:r>
      <w:r>
        <w:rPr>
          <w:rFonts w:hint="eastAsia" w:ascii="仿宋" w:hAnsi="仿宋" w:eastAsia="仿宋"/>
          <w:sz w:val="32"/>
          <w:szCs w:val="32"/>
          <w:u w:val="single"/>
          <w:lang w:val="en-US" w:eastAsia="zh-CN"/>
        </w:rPr>
        <w:t>100</w:t>
      </w:r>
      <w:r>
        <w:rPr>
          <w:rFonts w:hint="eastAsia" w:ascii="仿宋" w:hAnsi="仿宋" w:eastAsia="仿宋"/>
          <w:sz w:val="32"/>
          <w:szCs w:val="32"/>
        </w:rPr>
        <w:t xml:space="preserve"> %。</w:t>
      </w:r>
    </w:p>
    <w:p>
      <w:pPr>
        <w:ind w:firstLine="640" w:firstLineChars="200"/>
        <w:rPr>
          <w:rFonts w:ascii="黑体" w:hAnsi="黑体" w:eastAsia="黑体"/>
          <w:sz w:val="32"/>
          <w:szCs w:val="32"/>
        </w:rPr>
      </w:pPr>
      <w:r>
        <w:rPr>
          <w:rFonts w:hint="eastAsia" w:ascii="黑体" w:hAnsi="黑体" w:eastAsia="黑体"/>
          <w:sz w:val="32"/>
          <w:szCs w:val="32"/>
        </w:rPr>
        <w:t>三、部门（单位）支出总体情况</w:t>
      </w:r>
    </w:p>
    <w:p>
      <w:pPr>
        <w:ind w:firstLine="640" w:firstLineChars="200"/>
        <w:rPr>
          <w:rFonts w:ascii="仿宋" w:hAnsi="仿宋" w:eastAsia="仿宋"/>
          <w:sz w:val="32"/>
          <w:szCs w:val="32"/>
        </w:rPr>
      </w:pPr>
      <w:r>
        <w:rPr>
          <w:rFonts w:hint="eastAsia" w:ascii="仿宋" w:hAnsi="仿宋" w:eastAsia="仿宋"/>
          <w:sz w:val="32"/>
          <w:szCs w:val="32"/>
        </w:rPr>
        <w:t>支出预算总量</w:t>
      </w:r>
      <w:r>
        <w:rPr>
          <w:rFonts w:hint="eastAsia" w:ascii="仿宋" w:hAnsi="仿宋" w:eastAsia="仿宋"/>
          <w:sz w:val="32"/>
          <w:szCs w:val="32"/>
          <w:u w:val="single"/>
          <w:lang w:val="en-US" w:eastAsia="zh-CN"/>
        </w:rPr>
        <w:t>1090.78</w:t>
      </w:r>
      <w:r>
        <w:rPr>
          <w:rFonts w:hint="eastAsia" w:ascii="仿宋" w:hAnsi="仿宋" w:eastAsia="仿宋"/>
          <w:sz w:val="32"/>
          <w:szCs w:val="32"/>
        </w:rPr>
        <w:t>万元，同比增加</w:t>
      </w:r>
      <w:r>
        <w:rPr>
          <w:rFonts w:hint="eastAsia" w:ascii="仿宋" w:hAnsi="仿宋" w:eastAsia="仿宋"/>
          <w:sz w:val="32"/>
          <w:szCs w:val="32"/>
          <w:u w:val="single"/>
          <w:lang w:val="en-US" w:eastAsia="zh-CN"/>
        </w:rPr>
        <w:t>1090.78</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新增二级预算单位</w:t>
      </w:r>
      <w:r>
        <w:rPr>
          <w:rFonts w:hint="eastAsia" w:ascii="仿宋" w:hAnsi="仿宋" w:eastAsia="仿宋"/>
          <w:sz w:val="32"/>
          <w:szCs w:val="32"/>
          <w:u w:val="single"/>
        </w:rPr>
        <w:t xml:space="preserve"> </w:t>
      </w:r>
      <w:r>
        <w:rPr>
          <w:rFonts w:hint="eastAsia" w:ascii="仿宋" w:hAnsi="仿宋" w:eastAsia="仿宋"/>
          <w:sz w:val="32"/>
          <w:szCs w:val="32"/>
        </w:rPr>
        <w:t>。其中：基本支出</w:t>
      </w:r>
      <w:r>
        <w:rPr>
          <w:rFonts w:hint="eastAsia" w:ascii="仿宋" w:hAnsi="仿宋" w:eastAsia="仿宋"/>
          <w:sz w:val="32"/>
          <w:szCs w:val="32"/>
          <w:u w:val="single"/>
          <w:lang w:val="en-US" w:eastAsia="zh-CN"/>
        </w:rPr>
        <w:t>1040.17</w:t>
      </w:r>
      <w:r>
        <w:rPr>
          <w:rFonts w:hint="eastAsia" w:ascii="仿宋" w:hAnsi="仿宋" w:eastAsia="仿宋"/>
          <w:sz w:val="32"/>
          <w:szCs w:val="32"/>
        </w:rPr>
        <w:t>万元，占</w:t>
      </w:r>
      <w:r>
        <w:rPr>
          <w:rFonts w:hint="eastAsia" w:ascii="仿宋" w:hAnsi="仿宋" w:eastAsia="仿宋"/>
          <w:sz w:val="32"/>
          <w:szCs w:val="32"/>
          <w:u w:val="single"/>
          <w:lang w:val="en-US" w:eastAsia="zh-CN"/>
        </w:rPr>
        <w:t>95.36</w:t>
      </w:r>
      <w:r>
        <w:rPr>
          <w:rFonts w:hint="eastAsia" w:ascii="仿宋" w:hAnsi="仿宋" w:eastAsia="仿宋"/>
          <w:sz w:val="32"/>
          <w:szCs w:val="32"/>
        </w:rPr>
        <w:t>%；项目支出</w:t>
      </w:r>
      <w:r>
        <w:rPr>
          <w:rFonts w:hint="eastAsia" w:ascii="仿宋" w:hAnsi="仿宋" w:eastAsia="仿宋"/>
          <w:sz w:val="32"/>
          <w:szCs w:val="32"/>
          <w:u w:val="single"/>
          <w:lang w:val="en-US" w:eastAsia="zh-CN"/>
        </w:rPr>
        <w:t>50.61</w:t>
      </w:r>
      <w:r>
        <w:rPr>
          <w:rFonts w:hint="eastAsia" w:ascii="仿宋" w:hAnsi="仿宋" w:eastAsia="仿宋"/>
          <w:sz w:val="32"/>
          <w:szCs w:val="32"/>
        </w:rPr>
        <w:t>万元，占</w:t>
      </w:r>
      <w:r>
        <w:rPr>
          <w:rFonts w:hint="eastAsia" w:ascii="仿宋" w:hAnsi="仿宋" w:eastAsia="仿宋"/>
          <w:sz w:val="32"/>
          <w:szCs w:val="32"/>
          <w:u w:val="single"/>
          <w:lang w:val="en-US" w:eastAsia="zh-CN"/>
        </w:rPr>
        <w:t>4.64</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jc w:val="left"/>
        <w:rPr>
          <w:rFonts w:ascii="仿宋" w:hAnsi="仿宋" w:eastAsia="仿宋"/>
          <w:sz w:val="32"/>
          <w:szCs w:val="32"/>
        </w:rPr>
      </w:pPr>
      <w:r>
        <w:rPr>
          <w:rFonts w:hint="eastAsia" w:ascii="仿宋" w:hAnsi="仿宋" w:eastAsia="仿宋"/>
          <w:sz w:val="32"/>
          <w:szCs w:val="32"/>
        </w:rPr>
        <w:t>财政拨款收支总预算</w:t>
      </w:r>
      <w:r>
        <w:rPr>
          <w:rFonts w:hint="eastAsia" w:ascii="仿宋" w:hAnsi="仿宋" w:eastAsia="仿宋"/>
          <w:sz w:val="32"/>
          <w:szCs w:val="32"/>
          <w:u w:val="single"/>
          <w:lang w:val="en-US" w:eastAsia="zh-CN"/>
        </w:rPr>
        <w:t>1090.78</w:t>
      </w:r>
      <w:r>
        <w:rPr>
          <w:rFonts w:hint="eastAsia" w:ascii="仿宋" w:hAnsi="仿宋" w:eastAsia="仿宋"/>
          <w:sz w:val="32"/>
          <w:szCs w:val="32"/>
        </w:rPr>
        <w:t>万元，同比增加</w:t>
      </w:r>
      <w:r>
        <w:rPr>
          <w:rFonts w:hint="eastAsia" w:ascii="仿宋" w:hAnsi="仿宋" w:eastAsia="仿宋"/>
          <w:sz w:val="32"/>
          <w:szCs w:val="32"/>
          <w:u w:val="single"/>
          <w:lang w:val="en-US" w:eastAsia="zh-CN"/>
        </w:rPr>
        <w:t>1090.78</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lang w:eastAsia="zh-CN"/>
        </w:rPr>
        <w:t>新增二级预算单位</w:t>
      </w:r>
      <w:r>
        <w:rPr>
          <w:rFonts w:hint="eastAsia" w:ascii="仿宋" w:hAnsi="仿宋" w:eastAsia="仿宋"/>
          <w:sz w:val="32"/>
          <w:szCs w:val="32"/>
          <w:u w:val="single"/>
        </w:rPr>
        <w:t xml:space="preserve"> </w:t>
      </w:r>
      <w:r>
        <w:rPr>
          <w:rFonts w:hint="eastAsia" w:ascii="仿宋" w:hAnsi="仿宋" w:eastAsia="仿宋"/>
          <w:sz w:val="32"/>
          <w:szCs w:val="32"/>
        </w:rPr>
        <w:t>。收入包括：一般公共预算当年拨款收入</w:t>
      </w:r>
      <w:r>
        <w:rPr>
          <w:rFonts w:hint="eastAsia" w:ascii="仿宋" w:hAnsi="仿宋" w:eastAsia="仿宋"/>
          <w:sz w:val="32"/>
          <w:szCs w:val="32"/>
          <w:u w:val="single"/>
          <w:lang w:val="en-US" w:eastAsia="zh-CN"/>
        </w:rPr>
        <w:t>1090.78</w:t>
      </w:r>
      <w:r>
        <w:rPr>
          <w:rFonts w:hint="eastAsia" w:ascii="仿宋" w:hAnsi="仿宋" w:eastAsia="仿宋"/>
          <w:sz w:val="32"/>
          <w:szCs w:val="32"/>
        </w:rPr>
        <w:t>万元；支出包括：教育支出</w:t>
      </w:r>
      <w:r>
        <w:rPr>
          <w:rFonts w:hint="eastAsia" w:ascii="仿宋" w:hAnsi="仿宋" w:eastAsia="仿宋"/>
          <w:sz w:val="32"/>
          <w:szCs w:val="32"/>
          <w:u w:val="single"/>
          <w:lang w:val="en-US" w:eastAsia="zh-CN"/>
        </w:rPr>
        <w:t>907.66</w:t>
      </w:r>
      <w:r>
        <w:rPr>
          <w:rFonts w:hint="eastAsia" w:ascii="仿宋" w:hAnsi="仿宋" w:eastAsia="仿宋"/>
          <w:sz w:val="32"/>
          <w:szCs w:val="32"/>
        </w:rPr>
        <w:t>万元、社会保障和就业支出</w:t>
      </w:r>
      <w:r>
        <w:rPr>
          <w:rFonts w:hint="eastAsia" w:ascii="仿宋" w:hAnsi="仿宋" w:eastAsia="仿宋"/>
          <w:sz w:val="32"/>
          <w:szCs w:val="32"/>
          <w:u w:val="single"/>
          <w:lang w:val="en-US" w:eastAsia="zh-CN"/>
        </w:rPr>
        <w:t>107.19</w:t>
      </w:r>
      <w:r>
        <w:rPr>
          <w:rFonts w:hint="eastAsia" w:ascii="仿宋" w:hAnsi="仿宋" w:eastAsia="仿宋"/>
          <w:sz w:val="32"/>
          <w:szCs w:val="32"/>
        </w:rPr>
        <w:t>万元、卫生健康支出</w:t>
      </w:r>
      <w:r>
        <w:rPr>
          <w:rFonts w:hint="eastAsia" w:ascii="仿宋" w:hAnsi="仿宋" w:eastAsia="仿宋"/>
          <w:sz w:val="32"/>
          <w:szCs w:val="32"/>
          <w:u w:val="single"/>
          <w:lang w:val="en-US" w:eastAsia="zh-CN"/>
        </w:rPr>
        <w:t>49.72</w:t>
      </w:r>
      <w:r>
        <w:rPr>
          <w:rFonts w:hint="eastAsia" w:ascii="仿宋" w:hAnsi="仿宋" w:eastAsia="仿宋"/>
          <w:sz w:val="32"/>
          <w:szCs w:val="32"/>
        </w:rPr>
        <w:t>万元、住房保障支出</w:t>
      </w:r>
      <w:r>
        <w:rPr>
          <w:rFonts w:hint="eastAsia" w:ascii="仿宋" w:hAnsi="仿宋" w:eastAsia="仿宋"/>
          <w:sz w:val="32"/>
          <w:szCs w:val="32"/>
          <w:u w:val="single"/>
          <w:lang w:val="en-US" w:eastAsia="zh-CN"/>
        </w:rPr>
        <w:t>26.2</w:t>
      </w:r>
      <w:r>
        <w:rPr>
          <w:rFonts w:hint="eastAsia" w:ascii="仿宋" w:hAnsi="仿宋" w:eastAsia="仿宋"/>
          <w:sz w:val="32"/>
          <w:szCs w:val="32"/>
        </w:rPr>
        <w:t>万元。</w:t>
      </w:r>
    </w:p>
    <w:p>
      <w:pPr>
        <w:ind w:firstLine="640" w:firstLineChars="200"/>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一般公共预算当年拨款</w:t>
      </w:r>
      <w:r>
        <w:rPr>
          <w:rFonts w:hint="eastAsia" w:ascii="仿宋" w:hAnsi="仿宋" w:eastAsia="仿宋"/>
          <w:sz w:val="32"/>
          <w:szCs w:val="32"/>
          <w:u w:val="single"/>
          <w:lang w:val="en-US" w:eastAsia="zh-CN"/>
        </w:rPr>
        <w:t>1090.78</w:t>
      </w:r>
      <w:r>
        <w:rPr>
          <w:rFonts w:hint="eastAsia" w:ascii="仿宋" w:hAnsi="仿宋" w:eastAsia="仿宋"/>
          <w:sz w:val="32"/>
          <w:szCs w:val="32"/>
        </w:rPr>
        <w:t>万元,比2023 年执行数</w:t>
      </w:r>
      <w:r>
        <w:rPr>
          <w:rFonts w:ascii="仿宋" w:hAnsi="仿宋" w:eastAsia="仿宋"/>
          <w:sz w:val="32"/>
          <w:szCs w:val="32"/>
        </w:rPr>
        <w:t>增加</w:t>
      </w:r>
      <w:r>
        <w:rPr>
          <w:rFonts w:hint="eastAsia" w:ascii="仿宋" w:hAnsi="仿宋" w:eastAsia="仿宋"/>
          <w:sz w:val="32"/>
          <w:szCs w:val="32"/>
          <w:u w:val="single"/>
          <w:lang w:val="en-US" w:eastAsia="zh-CN"/>
        </w:rPr>
        <w:t>1090.78</w:t>
      </w:r>
      <w:r>
        <w:rPr>
          <w:rFonts w:hint="eastAsia" w:ascii="仿宋" w:hAnsi="仿宋" w:eastAsia="仿宋"/>
          <w:sz w:val="32"/>
          <w:szCs w:val="32"/>
        </w:rPr>
        <w:t>万元，主要原因：</w:t>
      </w:r>
      <w:r>
        <w:rPr>
          <w:rFonts w:hint="eastAsia" w:ascii="仿宋" w:hAnsi="仿宋" w:eastAsia="仿宋"/>
          <w:sz w:val="32"/>
          <w:szCs w:val="32"/>
          <w:u w:val="single"/>
          <w:lang w:eastAsia="zh-CN"/>
        </w:rPr>
        <w:t>新增二级预算单位</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一般公共预算当年拨款</w:t>
      </w:r>
      <w:r>
        <w:rPr>
          <w:rFonts w:hint="eastAsia" w:ascii="仿宋" w:hAnsi="仿宋" w:eastAsia="仿宋"/>
          <w:sz w:val="32"/>
          <w:szCs w:val="32"/>
          <w:u w:val="single"/>
          <w:lang w:val="en-US" w:eastAsia="zh-CN"/>
        </w:rPr>
        <w:t>1090.78</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rPr>
        <w:t>教育支出</w:t>
      </w:r>
      <w:r>
        <w:rPr>
          <w:rFonts w:hint="eastAsia" w:ascii="仿宋" w:hAnsi="仿宋" w:eastAsia="仿宋"/>
          <w:sz w:val="32"/>
          <w:szCs w:val="32"/>
          <w:u w:val="single"/>
          <w:lang w:val="en-US" w:eastAsia="zh-CN"/>
        </w:rPr>
        <w:t>907.66</w:t>
      </w:r>
      <w:r>
        <w:rPr>
          <w:rFonts w:hint="eastAsia" w:ascii="仿宋" w:hAnsi="仿宋" w:eastAsia="仿宋"/>
          <w:sz w:val="32"/>
          <w:szCs w:val="32"/>
        </w:rPr>
        <w:t>万元，占</w:t>
      </w:r>
      <w:r>
        <w:rPr>
          <w:rFonts w:hint="eastAsia" w:ascii="仿宋" w:hAnsi="仿宋" w:eastAsia="仿宋"/>
          <w:sz w:val="32"/>
          <w:szCs w:val="32"/>
          <w:u w:val="single"/>
          <w:lang w:val="en-US" w:eastAsia="zh-CN"/>
        </w:rPr>
        <w:t>83.21</w:t>
      </w:r>
      <w:r>
        <w:rPr>
          <w:rFonts w:hint="eastAsia" w:ascii="仿宋" w:hAnsi="仿宋" w:eastAsia="仿宋"/>
          <w:sz w:val="32"/>
          <w:szCs w:val="32"/>
        </w:rPr>
        <w:t>%；社会保障和就业支出</w:t>
      </w:r>
      <w:r>
        <w:rPr>
          <w:rFonts w:hint="eastAsia" w:ascii="仿宋" w:hAnsi="仿宋" w:eastAsia="仿宋"/>
          <w:sz w:val="32"/>
          <w:szCs w:val="32"/>
          <w:u w:val="single"/>
          <w:lang w:val="en-US" w:eastAsia="zh-CN"/>
        </w:rPr>
        <w:t>107.19</w:t>
      </w:r>
      <w:r>
        <w:rPr>
          <w:rFonts w:hint="eastAsia" w:ascii="仿宋" w:hAnsi="仿宋" w:eastAsia="仿宋"/>
          <w:sz w:val="32"/>
          <w:szCs w:val="32"/>
        </w:rPr>
        <w:t>万元，占</w:t>
      </w:r>
      <w:r>
        <w:rPr>
          <w:rFonts w:hint="eastAsia" w:ascii="仿宋" w:hAnsi="仿宋" w:eastAsia="仿宋"/>
          <w:sz w:val="32"/>
          <w:szCs w:val="32"/>
          <w:u w:val="single"/>
          <w:lang w:val="en-US" w:eastAsia="zh-CN"/>
        </w:rPr>
        <w:t>9.83</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卫生健康支出</w:t>
      </w:r>
      <w:r>
        <w:rPr>
          <w:rFonts w:hint="eastAsia" w:ascii="仿宋" w:hAnsi="仿宋" w:eastAsia="仿宋"/>
          <w:sz w:val="32"/>
          <w:szCs w:val="32"/>
          <w:u w:val="single"/>
          <w:lang w:val="en-US" w:eastAsia="zh-CN"/>
        </w:rPr>
        <w:t>49.72</w:t>
      </w:r>
      <w:r>
        <w:rPr>
          <w:rFonts w:hint="eastAsia" w:ascii="仿宋" w:hAnsi="仿宋" w:eastAsia="仿宋"/>
          <w:sz w:val="32"/>
          <w:szCs w:val="32"/>
        </w:rPr>
        <w:t>万元，占</w:t>
      </w:r>
      <w:r>
        <w:rPr>
          <w:rFonts w:hint="eastAsia" w:ascii="仿宋" w:hAnsi="仿宋" w:eastAsia="仿宋"/>
          <w:sz w:val="32"/>
          <w:szCs w:val="32"/>
          <w:u w:val="single"/>
          <w:lang w:val="en-US" w:eastAsia="zh-CN"/>
        </w:rPr>
        <w:t>4.56</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住房保障支出</w:t>
      </w:r>
      <w:r>
        <w:rPr>
          <w:rFonts w:hint="eastAsia" w:ascii="仿宋" w:hAnsi="仿宋" w:eastAsia="仿宋"/>
          <w:sz w:val="32"/>
          <w:szCs w:val="32"/>
          <w:u w:val="single"/>
          <w:lang w:val="en-US" w:eastAsia="zh-CN"/>
        </w:rPr>
        <w:t>26.2</w:t>
      </w:r>
      <w:r>
        <w:rPr>
          <w:rFonts w:hint="eastAsia" w:ascii="仿宋" w:hAnsi="仿宋" w:eastAsia="仿宋"/>
          <w:sz w:val="32"/>
          <w:szCs w:val="32"/>
        </w:rPr>
        <w:t>万元，占</w:t>
      </w:r>
      <w:r>
        <w:rPr>
          <w:rFonts w:hint="eastAsia" w:ascii="仿宋" w:hAnsi="仿宋" w:eastAsia="仿宋"/>
          <w:sz w:val="32"/>
          <w:szCs w:val="32"/>
          <w:u w:val="single"/>
          <w:lang w:val="en-US" w:eastAsia="zh-CN"/>
        </w:rPr>
        <w:t>2.4</w:t>
      </w:r>
      <w:r>
        <w:rPr>
          <w:rFonts w:hint="eastAsia" w:ascii="仿宋" w:hAnsi="仿宋" w:eastAsia="仿宋"/>
          <w:sz w:val="32"/>
          <w:szCs w:val="32"/>
        </w:rPr>
        <w:t>%</w:t>
      </w:r>
      <w:r>
        <w:rPr>
          <w:rFonts w:hint="eastAsia" w:ascii="仿宋" w:hAnsi="仿宋" w:eastAsia="仿宋"/>
          <w:sz w:val="32"/>
          <w:szCs w:val="32"/>
          <w:lang w:eastAsia="zh-CN"/>
        </w:rPr>
        <w:t>。</w:t>
      </w:r>
    </w:p>
    <w:p>
      <w:pPr>
        <w:ind w:firstLine="640" w:firstLineChars="20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（单位）一般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1.一般公共服务支出（类）财政事务（款）行政运行（项）预算数为</w:t>
      </w:r>
      <w:r>
        <w:rPr>
          <w:rFonts w:hint="eastAsia" w:ascii="仿宋" w:hAnsi="仿宋" w:eastAsia="仿宋"/>
          <w:sz w:val="32"/>
          <w:szCs w:val="32"/>
          <w:u w:val="single"/>
          <w:lang w:val="en-US" w:eastAsia="zh-CN"/>
        </w:rPr>
        <w:t>1040.17</w:t>
      </w:r>
      <w:r>
        <w:rPr>
          <w:rFonts w:hint="eastAsia" w:ascii="仿宋" w:hAnsi="仿宋" w:eastAsia="仿宋"/>
          <w:sz w:val="32"/>
          <w:szCs w:val="32"/>
        </w:rPr>
        <w:t>万元，比2023年执行数</w:t>
      </w:r>
      <w:r>
        <w:rPr>
          <w:rFonts w:hint="eastAsia" w:ascii="仿宋" w:hAnsi="仿宋" w:eastAsia="仿宋"/>
          <w:sz w:val="32"/>
          <w:szCs w:val="32"/>
          <w:lang w:eastAsia="zh-CN"/>
        </w:rPr>
        <w:t>增加</w:t>
      </w:r>
      <w:r>
        <w:rPr>
          <w:rFonts w:hint="eastAsia" w:ascii="仿宋" w:hAnsi="仿宋" w:eastAsia="仿宋"/>
          <w:sz w:val="32"/>
          <w:szCs w:val="32"/>
          <w:u w:val="single"/>
          <w:lang w:val="en-US" w:eastAsia="zh-CN"/>
        </w:rPr>
        <w:t>1040.17</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u w:val="single"/>
          <w:lang w:val="en-US" w:eastAsia="zh-CN"/>
        </w:rPr>
        <w:t>100</w:t>
      </w:r>
      <w:r>
        <w:rPr>
          <w:rFonts w:hint="eastAsia" w:ascii="仿宋" w:hAnsi="仿宋" w:eastAsia="仿宋"/>
          <w:sz w:val="32"/>
          <w:szCs w:val="32"/>
        </w:rPr>
        <w:t>%。主要是</w:t>
      </w:r>
      <w:r>
        <w:rPr>
          <w:rFonts w:hint="eastAsia" w:ascii="仿宋" w:hAnsi="仿宋" w:eastAsia="仿宋"/>
          <w:sz w:val="32"/>
          <w:szCs w:val="32"/>
          <w:lang w:eastAsia="zh-CN"/>
        </w:rPr>
        <w:t>新增二级预算单位</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2.一般公共服务支出（类）财政事务（款）一般行政管理事务（项）预算数为</w:t>
      </w:r>
      <w:r>
        <w:rPr>
          <w:rFonts w:hint="eastAsia" w:ascii="仿宋" w:hAnsi="仿宋" w:eastAsia="仿宋"/>
          <w:sz w:val="32"/>
          <w:szCs w:val="32"/>
          <w:u w:val="single"/>
          <w:lang w:val="en-US" w:eastAsia="zh-CN"/>
        </w:rPr>
        <w:t>50.61</w:t>
      </w:r>
      <w:r>
        <w:rPr>
          <w:rFonts w:hint="eastAsia" w:ascii="仿宋" w:hAnsi="仿宋" w:eastAsia="仿宋"/>
          <w:sz w:val="32"/>
          <w:szCs w:val="32"/>
        </w:rPr>
        <w:t>万元，比2023 年执行数</w:t>
      </w:r>
      <w:r>
        <w:rPr>
          <w:rFonts w:hint="eastAsia" w:ascii="仿宋" w:hAnsi="仿宋" w:eastAsia="仿宋"/>
          <w:sz w:val="32"/>
          <w:szCs w:val="32"/>
          <w:lang w:eastAsia="zh-CN"/>
        </w:rPr>
        <w:t>增加</w:t>
      </w:r>
      <w:r>
        <w:rPr>
          <w:rFonts w:hint="eastAsia" w:ascii="仿宋" w:hAnsi="仿宋" w:eastAsia="仿宋"/>
          <w:sz w:val="32"/>
          <w:szCs w:val="32"/>
          <w:u w:val="single"/>
          <w:lang w:val="en-US" w:eastAsia="zh-CN"/>
        </w:rPr>
        <w:t>50.61</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u w:val="single"/>
          <w:lang w:val="en-US" w:eastAsia="zh-CN"/>
        </w:rPr>
        <w:t>100</w:t>
      </w:r>
      <w:r>
        <w:rPr>
          <w:rFonts w:hint="eastAsia" w:ascii="仿宋" w:hAnsi="仿宋" w:eastAsia="仿宋"/>
          <w:sz w:val="32"/>
          <w:szCs w:val="32"/>
        </w:rPr>
        <w:t xml:space="preserve"> %。主要是</w:t>
      </w:r>
      <w:r>
        <w:rPr>
          <w:rFonts w:hint="eastAsia" w:ascii="仿宋" w:hAnsi="仿宋" w:eastAsia="仿宋"/>
          <w:sz w:val="32"/>
          <w:szCs w:val="32"/>
          <w:lang w:eastAsia="zh-CN"/>
        </w:rPr>
        <w:t>新增二级预算单位。</w:t>
      </w:r>
    </w:p>
    <w:p>
      <w:pPr>
        <w:ind w:firstLine="640" w:firstLineChars="200"/>
        <w:rPr>
          <w:rFonts w:ascii="黑体" w:hAnsi="黑体" w:eastAsia="黑体"/>
          <w:sz w:val="32"/>
          <w:szCs w:val="32"/>
        </w:rPr>
      </w:pPr>
      <w:r>
        <w:rPr>
          <w:rFonts w:hint="eastAsia" w:ascii="黑体" w:hAnsi="黑体" w:eastAsia="黑体"/>
          <w:sz w:val="32"/>
          <w:szCs w:val="32"/>
        </w:rPr>
        <w:t>六、一般公共预算基本支出总体情况</w:t>
      </w:r>
    </w:p>
    <w:p>
      <w:pPr>
        <w:ind w:firstLine="640" w:firstLineChars="200"/>
        <w:rPr>
          <w:rFonts w:ascii="仿宋" w:hAnsi="仿宋" w:eastAsia="仿宋"/>
          <w:sz w:val="32"/>
          <w:szCs w:val="32"/>
        </w:rPr>
      </w:pPr>
      <w:r>
        <w:rPr>
          <w:rFonts w:hint="eastAsia" w:ascii="仿宋" w:hAnsi="仿宋" w:eastAsia="仿宋"/>
          <w:sz w:val="32"/>
          <w:szCs w:val="32"/>
        </w:rPr>
        <w:t>2024年一般公共预算基本支出</w:t>
      </w:r>
      <w:r>
        <w:rPr>
          <w:rFonts w:hint="eastAsia" w:ascii="仿宋" w:hAnsi="仿宋" w:eastAsia="仿宋"/>
          <w:sz w:val="32"/>
          <w:szCs w:val="32"/>
          <w:u w:val="single"/>
          <w:lang w:val="en-US" w:eastAsia="zh-CN"/>
        </w:rPr>
        <w:t>1040.17</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lang w:val="en-US" w:eastAsia="zh-CN"/>
        </w:rPr>
        <w:t>980.81</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lang w:val="en-US" w:eastAsia="zh-CN"/>
        </w:rPr>
        <w:t>59.35</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r>
        <w:rPr>
          <w:rFonts w:ascii="仿宋" w:hAnsi="仿宋" w:eastAsia="仿宋"/>
          <w:sz w:val="32"/>
          <w:szCs w:val="32"/>
        </w:rPr>
        <w:t>车辆保险</w:t>
      </w:r>
      <w:r>
        <w:rPr>
          <w:rFonts w:hint="eastAsia" w:ascii="仿宋" w:hAnsi="仿宋" w:eastAsia="仿宋"/>
          <w:sz w:val="32"/>
          <w:szCs w:val="32"/>
          <w:lang w:eastAsia="zh-CN"/>
        </w:rPr>
        <w:t>、生均公用经费等</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七、一般公共预算“三公”经费预算总体情况</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2024年“三公”经费预算数为</w:t>
      </w:r>
      <w:r>
        <w:rPr>
          <w:rFonts w:hint="eastAsia" w:ascii="仿宋" w:hAnsi="仿宋" w:eastAsia="仿宋"/>
          <w:sz w:val="32"/>
          <w:szCs w:val="32"/>
          <w:u w:val="single"/>
          <w:lang w:val="en-US" w:eastAsia="zh-CN"/>
        </w:rPr>
        <w:t>1</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万元，公务用车购置</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万元</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万元。“三公”经费预算比2023年增加</w:t>
      </w:r>
      <w:r>
        <w:rPr>
          <w:rFonts w:hint="eastAsia" w:ascii="仿宋" w:hAnsi="仿宋" w:eastAsia="仿宋"/>
          <w:sz w:val="32"/>
          <w:szCs w:val="32"/>
          <w:u w:val="single"/>
          <w:lang w:val="en-US" w:eastAsia="zh-CN"/>
        </w:rPr>
        <w:t>1</w:t>
      </w:r>
      <w:r>
        <w:rPr>
          <w:rFonts w:hint="eastAsia" w:ascii="仿宋" w:hAnsi="仿宋" w:eastAsia="仿宋"/>
          <w:sz w:val="32"/>
          <w:szCs w:val="32"/>
        </w:rPr>
        <w:t>万元，增长</w:t>
      </w:r>
      <w:r>
        <w:rPr>
          <w:rFonts w:hint="eastAsia" w:ascii="仿宋" w:hAnsi="仿宋" w:eastAsia="仿宋"/>
          <w:sz w:val="32"/>
          <w:szCs w:val="32"/>
          <w:u w:val="single"/>
          <w:lang w:val="en-US" w:eastAsia="zh-CN"/>
        </w:rPr>
        <w:t>100</w:t>
      </w:r>
      <w:r>
        <w:rPr>
          <w:rFonts w:hint="eastAsia" w:ascii="仿宋" w:hAnsi="仿宋" w:eastAsia="仿宋"/>
          <w:sz w:val="32"/>
          <w:szCs w:val="32"/>
        </w:rPr>
        <w:t>%，主要原因是</w:t>
      </w:r>
      <w:r>
        <w:rPr>
          <w:rFonts w:hint="eastAsia" w:ascii="仿宋" w:hAnsi="仿宋" w:eastAsia="仿宋"/>
          <w:sz w:val="32"/>
          <w:szCs w:val="32"/>
          <w:u w:val="single"/>
          <w:lang w:eastAsia="zh-CN"/>
        </w:rPr>
        <w:t>新增二级预算单位</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2024年因公出国（境）</w:t>
      </w:r>
      <w:r>
        <w:rPr>
          <w:rFonts w:hint="eastAsia" w:ascii="仿宋" w:hAnsi="仿宋" w:eastAsia="仿宋"/>
          <w:sz w:val="32"/>
          <w:szCs w:val="32"/>
          <w:u w:val="single"/>
        </w:rPr>
        <w:t xml:space="preserve">   </w:t>
      </w:r>
      <w:r>
        <w:rPr>
          <w:rFonts w:hint="eastAsia" w:ascii="仿宋" w:hAnsi="仿宋" w:eastAsia="仿宋"/>
          <w:sz w:val="32"/>
          <w:szCs w:val="32"/>
        </w:rPr>
        <w:t>个团组、</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rPr>
        <w:t>量，国内公务接待</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八、政府性基金预算支出总体情况</w:t>
      </w:r>
    </w:p>
    <w:p>
      <w:pPr>
        <w:ind w:firstLine="640" w:firstLineChars="200"/>
        <w:rPr>
          <w:rFonts w:ascii="仿宋" w:hAnsi="仿宋" w:eastAsia="仿宋"/>
          <w:sz w:val="32"/>
          <w:szCs w:val="32"/>
        </w:rPr>
      </w:pPr>
      <w:r>
        <w:rPr>
          <w:rFonts w:hint="eastAsia" w:ascii="仿宋" w:hAnsi="仿宋" w:eastAsia="仿宋"/>
          <w:sz w:val="32"/>
          <w:szCs w:val="32"/>
        </w:rPr>
        <w:t>政府性基金预算当年拨款</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万元,比2023年执行数减少</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万元，主要原因：我部门（单位）2024年度没有政府性基金安排的支出</w:t>
      </w:r>
      <w:r>
        <w:rPr>
          <w:rFonts w:hint="eastAsia" w:ascii="仿宋_GB2312" w:eastAsia="仿宋_GB2312" w:cs="仿宋_GB2312" w:hAnsiTheme="minorHAnsi"/>
          <w:kern w:val="0"/>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（没有数据的表格应当列出空表并说明“我部门（单位）2024年度没有政府性基金安排的支出</w:t>
      </w:r>
      <w:r>
        <w:rPr>
          <w:rFonts w:ascii="仿宋" w:hAnsi="仿宋" w:eastAsia="仿宋"/>
          <w:sz w:val="32"/>
          <w:szCs w:val="32"/>
        </w:rPr>
        <w:t>”</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lang w:eastAsia="zh-CN"/>
        </w:rPr>
        <w:t>九</w:t>
      </w:r>
      <w:r>
        <w:rPr>
          <w:rFonts w:ascii="黑体" w:hAnsi="黑体" w:eastAsia="黑体"/>
          <w:sz w:val="32"/>
          <w:szCs w:val="32"/>
        </w:rPr>
        <w:t>、</w:t>
      </w:r>
      <w:r>
        <w:rPr>
          <w:rFonts w:hint="eastAsia" w:ascii="黑体" w:hAnsi="黑体" w:eastAsia="黑体"/>
          <w:sz w:val="32"/>
          <w:szCs w:val="32"/>
        </w:rPr>
        <w:t>其他重要事项的情况说明</w:t>
      </w:r>
    </w:p>
    <w:p>
      <w:pPr>
        <w:ind w:firstLine="480" w:firstLineChars="15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ascii="仿宋" w:hAnsi="仿宋" w:eastAsia="仿宋"/>
          <w:sz w:val="32"/>
          <w:szCs w:val="32"/>
        </w:rPr>
        <w:t>2024</w:t>
      </w:r>
      <w:r>
        <w:rPr>
          <w:rFonts w:hint="eastAsia" w:ascii="仿宋" w:hAnsi="仿宋" w:eastAsia="仿宋"/>
          <w:sz w:val="32"/>
          <w:szCs w:val="32"/>
        </w:rPr>
        <w:t>年部门（单位）机关</w:t>
      </w:r>
      <w:r>
        <w:rPr>
          <w:rFonts w:hint="eastAsia" w:ascii="仿宋" w:hAnsi="仿宋" w:eastAsia="仿宋"/>
          <w:sz w:val="32"/>
          <w:szCs w:val="32"/>
          <w:lang w:eastAsia="zh-CN"/>
        </w:rPr>
        <w:t>嘉黎县夏玛乡小学</w:t>
      </w:r>
      <w:r>
        <w:rPr>
          <w:rFonts w:hint="eastAsia" w:ascii="仿宋_GB2312" w:eastAsia="仿宋_GB2312" w:cs="仿宋_GB2312" w:hAnsiTheme="minorHAnsi"/>
          <w:kern w:val="0"/>
          <w:sz w:val="32"/>
          <w:szCs w:val="32"/>
          <w:u w:val="single"/>
          <w:lang w:val="en-US" w:eastAsia="zh-CN"/>
        </w:rPr>
        <w:t>1</w:t>
      </w:r>
      <w:r>
        <w:rPr>
          <w:rFonts w:hint="eastAsia" w:ascii="仿宋" w:hAnsi="仿宋" w:eastAsia="仿宋"/>
          <w:sz w:val="32"/>
          <w:szCs w:val="32"/>
        </w:rPr>
        <w:t>家事业单位的机关运行经费财政拨款预算</w:t>
      </w:r>
      <w:r>
        <w:rPr>
          <w:rFonts w:hint="eastAsia" w:ascii="仿宋_GB2312" w:eastAsia="仿宋_GB2312" w:cs="仿宋_GB2312" w:hAnsiTheme="minorHAnsi"/>
          <w:kern w:val="0"/>
          <w:sz w:val="32"/>
          <w:szCs w:val="32"/>
          <w:u w:val="single"/>
          <w:lang w:val="en-US" w:eastAsia="zh-CN"/>
        </w:rPr>
        <w:t>59.35</w:t>
      </w:r>
      <w:r>
        <w:rPr>
          <w:rFonts w:hint="eastAsia" w:ascii="仿宋" w:hAnsi="仿宋" w:eastAsia="仿宋"/>
          <w:sz w:val="32"/>
          <w:szCs w:val="32"/>
        </w:rPr>
        <w:t>万元，比</w:t>
      </w:r>
      <w:r>
        <w:rPr>
          <w:rFonts w:ascii="仿宋" w:hAnsi="仿宋" w:eastAsia="仿宋"/>
          <w:sz w:val="32"/>
          <w:szCs w:val="32"/>
        </w:rPr>
        <w:t>2023</w:t>
      </w:r>
      <w:r>
        <w:rPr>
          <w:rFonts w:hint="eastAsia" w:ascii="仿宋" w:hAnsi="仿宋" w:eastAsia="仿宋"/>
          <w:sz w:val="32"/>
          <w:szCs w:val="32"/>
        </w:rPr>
        <w:t>年预算增加</w:t>
      </w:r>
      <w:r>
        <w:rPr>
          <w:rFonts w:hint="eastAsia" w:ascii="仿宋_GB2312" w:eastAsia="仿宋_GB2312" w:cs="仿宋_GB2312" w:hAnsiTheme="minorHAnsi"/>
          <w:kern w:val="0"/>
          <w:sz w:val="32"/>
          <w:szCs w:val="32"/>
          <w:u w:val="single"/>
          <w:lang w:val="en-US" w:eastAsia="zh-CN"/>
        </w:rPr>
        <w:t>59.35</w:t>
      </w:r>
      <w:r>
        <w:rPr>
          <w:rFonts w:hint="eastAsia" w:ascii="仿宋" w:hAnsi="仿宋" w:eastAsia="仿宋"/>
          <w:sz w:val="32"/>
          <w:szCs w:val="32"/>
        </w:rPr>
        <w:t>万元，增长</w:t>
      </w:r>
      <w:r>
        <w:rPr>
          <w:rFonts w:hint="eastAsia" w:ascii="仿宋_GB2312" w:eastAsia="仿宋_GB2312" w:cs="仿宋_GB2312" w:hAnsiTheme="minorHAnsi"/>
          <w:kern w:val="0"/>
          <w:sz w:val="32"/>
          <w:szCs w:val="32"/>
          <w:u w:val="single"/>
          <w:lang w:val="en-US" w:eastAsia="zh-CN"/>
        </w:rPr>
        <w:t>100</w:t>
      </w:r>
      <w:r>
        <w:rPr>
          <w:rFonts w:ascii="仿宋_GB2312" w:eastAsia="仿宋_GB2312" w:cs="仿宋_GB2312" w:hAnsiTheme="minorHAnsi"/>
          <w:kern w:val="0"/>
          <w:sz w:val="32"/>
          <w:szCs w:val="32"/>
        </w:rPr>
        <w:t xml:space="preserve"> </w:t>
      </w:r>
      <w:r>
        <w:rPr>
          <w:rFonts w:ascii="仿宋" w:hAnsi="仿宋" w:eastAsia="仿宋"/>
          <w:sz w:val="32"/>
          <w:szCs w:val="32"/>
        </w:rPr>
        <w:t>%</w:t>
      </w:r>
      <w:r>
        <w:rPr>
          <w:rFonts w:hint="eastAsia" w:ascii="仿宋" w:hAnsi="仿宋" w:eastAsia="仿宋"/>
          <w:sz w:val="32"/>
          <w:szCs w:val="32"/>
        </w:rPr>
        <w:t>。主要原因是</w:t>
      </w:r>
      <w:r>
        <w:rPr>
          <w:rFonts w:hint="eastAsia" w:ascii="仿宋_GB2312" w:eastAsia="仿宋_GB2312" w:cs="仿宋_GB2312" w:hAnsiTheme="minorHAnsi"/>
          <w:kern w:val="0"/>
          <w:sz w:val="32"/>
          <w:szCs w:val="32"/>
          <w:u w:val="single"/>
          <w:lang w:eastAsia="zh-CN"/>
        </w:rPr>
        <w:t>新增二级预算单位</w:t>
      </w:r>
      <w:r>
        <w:rPr>
          <w:rFonts w:hint="eastAsia" w:ascii="仿宋_GB2312" w:eastAsia="仿宋_GB2312" w:cs="仿宋_GB2312" w:hAnsiTheme="minorHAnsi"/>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仿宋" w:hAnsi="仿宋" w:eastAsia="仿宋"/>
          <w:sz w:val="32"/>
          <w:szCs w:val="32"/>
        </w:rPr>
        <w:t>2024</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2024</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lang w:val="en-US" w:eastAsia="zh-CN"/>
        </w:rPr>
        <w:t>1</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辆，其中，</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级领导干部用车（含在职和离退休部级干部用车）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辆、机要通信用车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辆、应急保障用车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辆、执法执勤用车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辆、特种专业技术用车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single"/>
          <w:lang w:val="en-US" w:eastAsia="zh-CN"/>
        </w:rPr>
        <w:t>1</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w:t>
      </w:r>
      <w:r>
        <w:rPr>
          <w:rFonts w:ascii="仿宋" w:hAnsi="仿宋" w:eastAsia="仿宋"/>
          <w:sz w:val="32"/>
          <w:szCs w:val="32"/>
        </w:rPr>
        <w:t>2024</w:t>
      </w:r>
      <w:r>
        <w:rPr>
          <w:rFonts w:hint="eastAsia" w:ascii="仿宋" w:hAnsi="仿宋" w:eastAsia="仿宋"/>
          <w:sz w:val="32"/>
          <w:szCs w:val="32"/>
        </w:rPr>
        <w:t>年一般公共预算安排对确实无法使用的</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辆车进行更新购置……。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（四）2024年预算绩效情况说明。</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2024年实现财政支出绩效目标管理全覆盖，实行绩效目标管理</w:t>
      </w:r>
      <w:r>
        <w:rPr>
          <w:rFonts w:hint="eastAsia" w:ascii="仿宋_GB2312" w:eastAsia="仿宋_GB2312" w:cs="仿宋_GB2312" w:hAnsiTheme="minorHAnsi"/>
          <w:kern w:val="0"/>
          <w:sz w:val="32"/>
          <w:szCs w:val="32"/>
          <w:u w:val="single"/>
          <w:lang w:val="en-US" w:eastAsia="zh-CN"/>
        </w:rPr>
        <w:t>22</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lang w:val="en-US" w:eastAsia="zh-CN"/>
        </w:rPr>
        <w:t>1090.78</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万元，地方资金</w:t>
      </w:r>
      <w:r>
        <w:rPr>
          <w:rFonts w:hint="eastAsia" w:ascii="仿宋_GB2312" w:eastAsia="仿宋_GB2312" w:cs="仿宋_GB2312" w:hAnsiTheme="minorHAnsi"/>
          <w:kern w:val="0"/>
          <w:sz w:val="32"/>
          <w:szCs w:val="32"/>
          <w:u w:val="single"/>
          <w:lang w:val="en-US" w:eastAsia="zh-CN"/>
        </w:rPr>
        <w:t>1090.78</w:t>
      </w:r>
      <w:bookmarkStart w:id="0" w:name="_GoBack"/>
      <w:bookmarkEnd w:id="0"/>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个，分别是（项目名称</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ind w:firstLine="640" w:firstLineChars="200"/>
        <w:rPr>
          <w:rFonts w:ascii="楷体" w:hAnsi="楷体" w:eastAsia="楷体"/>
          <w:sz w:val="32"/>
          <w:szCs w:val="32"/>
        </w:rPr>
      </w:pPr>
      <w:r>
        <w:rPr>
          <w:rFonts w:hint="eastAsia" w:ascii="楷体" w:hAnsi="楷体" w:eastAsia="楷体"/>
          <w:sz w:val="32"/>
          <w:szCs w:val="32"/>
        </w:rPr>
        <w:t>（五）扶贫资金管理使用情况及绩效目标情况说明。</w:t>
      </w:r>
    </w:p>
    <w:p>
      <w:pPr>
        <w:ind w:firstLine="640" w:firstLineChars="200"/>
        <w:rPr>
          <w:rFonts w:hint="eastAsia" w:ascii="楷体" w:hAnsi="楷体" w:eastAsia="楷体"/>
          <w:sz w:val="32"/>
          <w:szCs w:val="32"/>
          <w:lang w:eastAsia="zh-CN"/>
        </w:rPr>
      </w:pPr>
      <w:r>
        <w:rPr>
          <w:rFonts w:hint="eastAsia" w:ascii="楷体" w:hAnsi="楷体" w:eastAsia="楷体"/>
          <w:sz w:val="32"/>
          <w:szCs w:val="32"/>
          <w:lang w:eastAsia="zh-CN"/>
        </w:rPr>
        <w:t>我校无扶贫资金</w:t>
      </w:r>
    </w:p>
    <w:p>
      <w:pPr>
        <w:ind w:firstLine="640" w:firstLineChars="200"/>
        <w:rPr>
          <w:rFonts w:ascii="仿宋" w:hAnsi="仿宋" w:eastAsia="仿宋"/>
          <w:sz w:val="32"/>
          <w:szCs w:val="32"/>
        </w:rPr>
      </w:pPr>
      <w:r>
        <w:rPr>
          <w:rFonts w:hint="eastAsia" w:ascii="楷体" w:hAnsi="楷体" w:eastAsia="楷体"/>
          <w:sz w:val="32"/>
          <w:szCs w:val="32"/>
        </w:rPr>
        <w:t>（六）政府债务情况。</w:t>
      </w:r>
      <w:r>
        <w:rPr>
          <w:rFonts w:hint="eastAsia" w:ascii="仿宋" w:hAnsi="仿宋" w:eastAsia="仿宋"/>
          <w:sz w:val="32"/>
          <w:szCs w:val="32"/>
        </w:rPr>
        <w:t>（本部门及所属单位使用和管理政府债券资金情况，包括相关政府债券资金总体规模、项目安排。）</w:t>
      </w:r>
      <w:r>
        <w:rPr>
          <w:rFonts w:hint="eastAsia" w:ascii="仿宋" w:hAnsi="仿宋" w:eastAsia="仿宋"/>
          <w:sz w:val="32"/>
          <w:szCs w:val="32"/>
          <w:lang w:eastAsia="zh-CN"/>
        </w:rPr>
        <w:t>我校无政府债务。</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jc w:val="center"/>
        <w:rPr>
          <w:rFonts w:ascii="方正小标宋简体" w:hAnsi="仿宋" w:eastAsia="方正小标宋简体"/>
          <w:sz w:val="32"/>
          <w:szCs w:val="32"/>
        </w:rPr>
      </w:pPr>
    </w:p>
    <w:p>
      <w:pPr>
        <w:ind w:firstLine="640" w:firstLineChars="200"/>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hint="eastAsia"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decorative"/>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 w:name="仿宋">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Calibri Light">
    <w:panose1 w:val="020F0302020204030204"/>
    <w:charset w:val="00"/>
    <w:family w:val="modern"/>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Calibri Light">
    <w:panose1 w:val="020F0302020204030204"/>
    <w:charset w:val="00"/>
    <w:family w:val="decorative"/>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Fonts w:ascii="宋体" w:hAnsi="宋体" w:eastAsia="宋体"/>
        <w:sz w:val="24"/>
        <w:szCs w:val="24"/>
      </w:rPr>
    </w:pPr>
    <w:r>
      <w:rPr>
        <w:rStyle w:val="6"/>
        <w:rFonts w:ascii="宋体" w:hAnsi="宋体" w:eastAsia="宋体"/>
        <w:sz w:val="24"/>
        <w:szCs w:val="24"/>
      </w:rPr>
      <w:fldChar w:fldCharType="begin"/>
    </w:r>
    <w:r>
      <w:rPr>
        <w:rStyle w:val="6"/>
        <w:rFonts w:ascii="宋体" w:hAnsi="宋体" w:eastAsia="宋体"/>
        <w:sz w:val="24"/>
        <w:szCs w:val="24"/>
      </w:rPr>
      <w:instrText xml:space="preserve">PAGE  </w:instrText>
    </w:r>
    <w:r>
      <w:rPr>
        <w:rStyle w:val="6"/>
        <w:rFonts w:ascii="宋体" w:hAnsi="宋体" w:eastAsia="宋体"/>
        <w:sz w:val="24"/>
        <w:szCs w:val="24"/>
      </w:rPr>
      <w:fldChar w:fldCharType="separate"/>
    </w:r>
    <w:r>
      <w:rPr>
        <w:rStyle w:val="6"/>
        <w:rFonts w:ascii="宋体" w:hAnsi="宋体" w:eastAsia="宋体"/>
        <w:sz w:val="24"/>
        <w:szCs w:val="24"/>
      </w:rPr>
      <w:t>- 3 -</w:t>
    </w:r>
    <w:r>
      <w:rPr>
        <w:rStyle w:val="6"/>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43EB40F9"/>
    <w:rsid w:val="4586191C"/>
    <w:rsid w:val="459D5443"/>
    <w:rsid w:val="49A14359"/>
    <w:rsid w:val="4A847483"/>
    <w:rsid w:val="59051A19"/>
    <w:rsid w:val="61526369"/>
    <w:rsid w:val="70973244"/>
    <w:rsid w:val="73763CFB"/>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字符"/>
    <w:basedOn w:val="5"/>
    <w:link w:val="4"/>
    <w:qFormat/>
    <w:uiPriority w:val="99"/>
    <w:rPr>
      <w:sz w:val="18"/>
      <w:szCs w:val="18"/>
    </w:rPr>
  </w:style>
  <w:style w:type="character" w:customStyle="1" w:styleId="9">
    <w:name w:val="页脚 字符"/>
    <w:basedOn w:val="5"/>
    <w:link w:val="3"/>
    <w:qFormat/>
    <w:uiPriority w:val="99"/>
    <w:rPr>
      <w:sz w:val="18"/>
      <w:szCs w:val="18"/>
    </w:rPr>
  </w:style>
  <w:style w:type="character" w:customStyle="1" w:styleId="10">
    <w:name w:val="批注框文本 字符"/>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707</Words>
  <Characters>4031</Characters>
  <Lines>33</Lines>
  <Paragraphs>9</Paragraphs>
  <ScaleCrop>false</ScaleCrop>
  <LinksUpToDate>false</LinksUpToDate>
  <CharactersWithSpaces>4729</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2024-02-06T13:28:36Z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