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w:t>
      </w:r>
      <w:r>
        <w:rPr>
          <w:rFonts w:hint="eastAsia" w:ascii="方正小标宋简体" w:hAnsi="仿宋" w:eastAsia="方正小标宋简体"/>
          <w:sz w:val="44"/>
          <w:szCs w:val="44"/>
          <w:lang w:eastAsia="zh-CN"/>
        </w:rPr>
        <w:t>那曲</w:t>
      </w:r>
      <w:r>
        <w:rPr>
          <w:rFonts w:hint="eastAsia" w:ascii="方正小标宋简体" w:hAnsi="仿宋" w:eastAsia="方正小标宋简体"/>
          <w:sz w:val="44"/>
          <w:szCs w:val="44"/>
        </w:rPr>
        <w:t>嘉黎县</w:t>
      </w:r>
      <w:r>
        <w:rPr>
          <w:rFonts w:hint="eastAsia" w:ascii="方正小标宋简体" w:hAnsi="仿宋" w:eastAsia="方正小标宋简体"/>
          <w:sz w:val="44"/>
          <w:szCs w:val="44"/>
          <w:lang w:eastAsia="zh-CN"/>
        </w:rPr>
        <w:t>融媒体中心</w:t>
      </w:r>
      <w:r>
        <w:rPr>
          <w:rFonts w:hint="eastAsia" w:ascii="方正小标宋简体" w:hAnsi="仿宋" w:eastAsia="方正小标宋简体"/>
          <w:sz w:val="44"/>
          <w:szCs w:val="44"/>
        </w:rPr>
        <w:t>中心202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numPr>
          <w:ilvl w:val="0"/>
          <w:numId w:val="1"/>
        </w:num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西藏那曲嘉黎县融媒体中心</w:t>
      </w:r>
    </w:p>
    <w:p>
      <w:pPr>
        <w:numPr>
          <w:ilvl w:val="0"/>
          <w:numId w:val="0"/>
        </w:num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numPr>
          <w:ilvl w:val="0"/>
          <w:numId w:val="1"/>
        </w:num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西藏那曲嘉黎县融媒体中心</w:t>
      </w:r>
    </w:p>
    <w:p>
      <w:pP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2024年</w:t>
      </w:r>
      <w:r>
        <w:rPr>
          <w:rFonts w:hint="eastAsia" w:ascii="方正小标宋简体" w:hAnsi="仿宋" w:eastAsia="方正小标宋简体"/>
          <w:sz w:val="32"/>
          <w:szCs w:val="32"/>
        </w:rPr>
        <w:t>预算明细表</w:t>
      </w:r>
    </w:p>
    <w:p>
      <w:pPr>
        <w:numPr>
          <w:ilvl w:val="0"/>
          <w:numId w:val="1"/>
        </w:num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西藏那曲嘉黎县融媒体中心</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numPr>
          <w:ilvl w:val="0"/>
          <w:numId w:val="1"/>
        </w:numP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西藏那曲嘉黎县融媒体中心</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负责广播电视节目的安全播出情况。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负责</w:t>
      </w:r>
      <w:r>
        <w:rPr>
          <w:rFonts w:hint="eastAsia" w:ascii="仿宋" w:hAnsi="仿宋" w:eastAsia="仿宋"/>
          <w:sz w:val="32"/>
          <w:szCs w:val="32"/>
          <w:lang w:val="en-US" w:eastAsia="zh-CN"/>
        </w:rPr>
        <w:t>全县广播电视接收设备维护维修日常工作。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3.负责执行广播电视全县重大宣传活动，根据国家政策开展广播电视节目工作。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4.负责执行广播电视与新媒体、新业态融合发展、落实国家相关政策宣传工作。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5.负责广播影视及农村电影放映工作。</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6、负责全县新闻舆论传播、引导、影响，做好正面宣传工作。</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西藏那曲嘉黎县融媒体中心</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黑体" w:hAnsi="黑体" w:eastAsia="黑体"/>
          <w:sz w:val="32"/>
          <w:szCs w:val="32"/>
        </w:rPr>
      </w:pPr>
      <w:r>
        <w:rPr>
          <w:rFonts w:hint="eastAsia" w:ascii="方正小标宋简体" w:hAnsi="仿宋" w:eastAsia="方正小标宋简体"/>
          <w:sz w:val="32"/>
          <w:szCs w:val="32"/>
          <w:lang w:eastAsia="zh-CN"/>
        </w:rPr>
        <w:t>西藏那曲嘉黎县融媒体中心</w:t>
      </w:r>
      <w:r>
        <w:rPr>
          <w:rFonts w:hint="eastAsia" w:ascii="方正小标宋简体" w:hAnsi="仿宋" w:eastAsia="方正小标宋简体"/>
          <w:sz w:val="32"/>
          <w:szCs w:val="32"/>
          <w:lang w:val="en-US" w:eastAsia="zh-CN"/>
        </w:rPr>
        <w:t>2024年</w:t>
      </w:r>
      <w:r>
        <w:rPr>
          <w:rFonts w:hint="eastAsia" w:ascii="方正小标宋简体" w:hAnsi="仿宋" w:eastAsia="方正小标宋简体"/>
          <w:sz w:val="32"/>
          <w:szCs w:val="32"/>
        </w:rPr>
        <w:t>预算数据分析</w:t>
      </w: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859.32</w:t>
      </w:r>
      <w:r>
        <w:rPr>
          <w:rFonts w:hint="eastAsia" w:ascii="仿宋" w:hAnsi="仿宋" w:eastAsia="仿宋"/>
          <w:sz w:val="32"/>
          <w:szCs w:val="32"/>
        </w:rPr>
        <w:t>万元。收入包括：一般公共预算拨款收入、上年结转；支出包括：一般公共服务支出、文化旅游体育与传媒支出、社会保障和就业支出、卫生健康支出、住房保障支出。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lang w:val="en-US" w:eastAsia="zh-CN"/>
        </w:rPr>
        <w:t>859.32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183.12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工资增长及项目增加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29.34</w:t>
      </w:r>
      <w:r>
        <w:rPr>
          <w:rFonts w:hint="eastAsia" w:ascii="仿宋" w:hAnsi="仿宋" w:eastAsia="仿宋"/>
          <w:sz w:val="32"/>
          <w:szCs w:val="32"/>
        </w:rPr>
        <w:t>万元，占</w:t>
      </w:r>
      <w:r>
        <w:rPr>
          <w:rFonts w:hint="eastAsia" w:ascii="仿宋" w:hAnsi="仿宋" w:eastAsia="仿宋"/>
          <w:sz w:val="32"/>
          <w:szCs w:val="32"/>
          <w:u w:val="single"/>
          <w:lang w:val="en-US" w:eastAsia="zh-CN"/>
        </w:rPr>
        <w:t>3.41</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829.99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96.59</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859.32</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183.12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工资增长及项目增加</w:t>
      </w:r>
      <w:r>
        <w:rPr>
          <w:rFonts w:hint="eastAsia" w:ascii="仿宋" w:hAnsi="仿宋" w:eastAsia="仿宋"/>
          <w:sz w:val="32"/>
          <w:szCs w:val="32"/>
        </w:rPr>
        <w:t>。其中：基本支出</w:t>
      </w:r>
      <w:r>
        <w:rPr>
          <w:rFonts w:hint="eastAsia" w:ascii="仿宋" w:hAnsi="仿宋" w:eastAsia="仿宋"/>
          <w:sz w:val="32"/>
          <w:szCs w:val="32"/>
          <w:u w:val="single"/>
          <w:lang w:val="en-US" w:eastAsia="zh-CN"/>
        </w:rPr>
        <w:t>694.48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80.82</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164.84</w:t>
      </w:r>
      <w:r>
        <w:rPr>
          <w:rFonts w:hint="eastAsia" w:ascii="仿宋" w:hAnsi="仿宋" w:eastAsia="仿宋"/>
          <w:sz w:val="32"/>
          <w:szCs w:val="32"/>
        </w:rPr>
        <w:t>万元，占</w:t>
      </w:r>
      <w:r>
        <w:rPr>
          <w:rFonts w:hint="eastAsia" w:ascii="仿宋" w:hAnsi="仿宋" w:eastAsia="仿宋"/>
          <w:sz w:val="32"/>
          <w:szCs w:val="32"/>
          <w:u w:val="single"/>
          <w:lang w:val="en-US" w:eastAsia="zh-CN"/>
        </w:rPr>
        <w:t>19.18</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859.32</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183.12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工资增长及项目增加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829.99</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29.34</w:t>
      </w:r>
      <w:r>
        <w:rPr>
          <w:rFonts w:hint="eastAsia" w:ascii="仿宋" w:hAnsi="仿宋" w:eastAsia="仿宋"/>
          <w:sz w:val="32"/>
          <w:szCs w:val="32"/>
        </w:rPr>
        <w:t>万元；支出包括：</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8万元、</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700.31</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69.47</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49.84</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859.32</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148.34</w:t>
      </w:r>
      <w:r>
        <w:rPr>
          <w:rFonts w:hint="eastAsia" w:ascii="仿宋" w:hAnsi="仿宋" w:eastAsia="仿宋"/>
          <w:sz w:val="32"/>
          <w:szCs w:val="32"/>
        </w:rPr>
        <w:t>万元，主要原因：</w:t>
      </w:r>
      <w:r>
        <w:rPr>
          <w:rFonts w:hint="eastAsia" w:ascii="仿宋" w:hAnsi="仿宋" w:eastAsia="仿宋"/>
          <w:sz w:val="32"/>
          <w:szCs w:val="32"/>
          <w:u w:val="single"/>
          <w:lang w:eastAsia="zh-CN"/>
        </w:rPr>
        <w:t>工资增长及项目增加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859.32</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w:t>
      </w:r>
      <w:r>
        <w:rPr>
          <w:rFonts w:hint="eastAsia" w:ascii="仿宋" w:hAnsi="仿宋" w:eastAsia="仿宋"/>
          <w:sz w:val="32"/>
          <w:szCs w:val="32"/>
        </w:rPr>
        <w:t>万元，占</w:t>
      </w:r>
      <w:r>
        <w:rPr>
          <w:rFonts w:hint="eastAsia" w:ascii="仿宋" w:hAnsi="仿宋" w:eastAsia="仿宋"/>
          <w:sz w:val="32"/>
          <w:szCs w:val="32"/>
          <w:u w:val="single"/>
          <w:lang w:val="en-US" w:eastAsia="zh-CN"/>
        </w:rPr>
        <w:t>0.93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700.31</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81.5%</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69.47</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8.08%；</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3.69%；</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49.84</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5.8%</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694.48</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41.61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6.38</w:t>
      </w:r>
      <w:r>
        <w:rPr>
          <w:rFonts w:hint="eastAsia" w:ascii="仿宋" w:hAnsi="仿宋" w:eastAsia="仿宋"/>
          <w:sz w:val="32"/>
          <w:szCs w:val="32"/>
        </w:rPr>
        <w:t>%。主要是</w:t>
      </w:r>
      <w:r>
        <w:rPr>
          <w:rFonts w:hint="eastAsia" w:ascii="仿宋" w:hAnsi="仿宋" w:eastAsia="仿宋"/>
          <w:sz w:val="32"/>
          <w:szCs w:val="32"/>
          <w:u w:val="single"/>
          <w:lang w:eastAsia="zh-CN"/>
        </w:rPr>
        <w:t>工资增长</w:t>
      </w:r>
      <w:r>
        <w:rPr>
          <w:rFonts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164.84</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106.73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183.67</w:t>
      </w:r>
      <w:r>
        <w:rPr>
          <w:rFonts w:hint="eastAsia" w:ascii="仿宋" w:hAnsi="仿宋" w:eastAsia="仿宋"/>
          <w:sz w:val="32"/>
          <w:szCs w:val="32"/>
        </w:rPr>
        <w:t xml:space="preserve"> %。主要是</w:t>
      </w:r>
      <w:r>
        <w:rPr>
          <w:rFonts w:hint="eastAsia" w:ascii="仿宋" w:hAnsi="仿宋" w:eastAsia="仿宋"/>
          <w:sz w:val="32"/>
          <w:szCs w:val="32"/>
          <w:lang w:eastAsia="zh-CN"/>
        </w:rPr>
        <w:t>项目支出增加。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694.48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659.12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35.36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5</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w:t>
      </w:r>
      <w:r>
        <w:rPr>
          <w:rFonts w:hint="eastAsia" w:ascii="仿宋" w:hAnsi="仿宋" w:eastAsia="仿宋"/>
          <w:sz w:val="32"/>
          <w:szCs w:val="32"/>
          <w:lang w:eastAsia="zh-CN"/>
        </w:rPr>
        <w:t>少</w:t>
      </w:r>
      <w:r>
        <w:rPr>
          <w:rFonts w:hint="eastAsia" w:ascii="仿宋" w:hAnsi="仿宋" w:eastAsia="仿宋"/>
          <w:sz w:val="32"/>
          <w:szCs w:val="32"/>
          <w:u w:val="single"/>
          <w:lang w:val="en-US" w:eastAsia="zh-CN"/>
        </w:rPr>
        <w:t>0.8</w:t>
      </w:r>
      <w:r>
        <w:rPr>
          <w:rFonts w:hint="eastAsia" w:ascii="仿宋" w:hAnsi="仿宋" w:eastAsia="仿宋"/>
          <w:sz w:val="32"/>
          <w:szCs w:val="32"/>
        </w:rPr>
        <w:t>万元，压缩</w:t>
      </w:r>
      <w:r>
        <w:rPr>
          <w:rFonts w:hint="eastAsia" w:ascii="仿宋" w:hAnsi="仿宋" w:eastAsia="仿宋"/>
          <w:sz w:val="32"/>
          <w:szCs w:val="32"/>
          <w:u w:val="single"/>
          <w:lang w:val="en-US" w:eastAsia="zh-CN"/>
        </w:rPr>
        <w:t>13.79</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eastAsia="zh-CN"/>
        </w:rPr>
        <w:t>压缩三公经费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万元，主要原因：我部门2024年度没有政府性基金安排的支出。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hint="eastAsia" w:ascii="仿宋" w:hAnsi="仿宋" w:eastAsia="仿宋"/>
          <w:sz w:val="32"/>
          <w:szCs w:val="32"/>
          <w:lang w:eastAsia="zh-CN"/>
        </w:rPr>
        <w:t>融媒体</w:t>
      </w:r>
      <w:r>
        <w:rPr>
          <w:rFonts w:hint="eastAsia" w:ascii="仿宋" w:hAnsi="仿宋" w:eastAsia="仿宋"/>
          <w:sz w:val="32"/>
          <w:szCs w:val="32"/>
        </w:rPr>
        <w:t>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35.36</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_GB2312" w:eastAsia="仿宋_GB2312" w:cs="仿宋_GB2312" w:hAnsiTheme="minorHAnsi"/>
          <w:kern w:val="0"/>
          <w:sz w:val="32"/>
          <w:szCs w:val="32"/>
          <w:u w:val="single"/>
          <w:lang w:val="en-US" w:eastAsia="zh-CN"/>
        </w:rPr>
        <w:t>2.51</w:t>
      </w:r>
      <w:r>
        <w:rPr>
          <w:rFonts w:hint="eastAsia" w:ascii="仿宋" w:hAnsi="仿宋" w:eastAsia="仿宋"/>
          <w:sz w:val="32"/>
          <w:szCs w:val="32"/>
        </w:rPr>
        <w:t>万元，降低</w:t>
      </w:r>
      <w:r>
        <w:rPr>
          <w:rFonts w:hint="eastAsia" w:ascii="仿宋_GB2312" w:eastAsia="仿宋_GB2312" w:cs="仿宋_GB2312" w:hAnsiTheme="minorHAnsi"/>
          <w:kern w:val="0"/>
          <w:sz w:val="32"/>
          <w:szCs w:val="32"/>
          <w:u w:val="single"/>
          <w:lang w:val="en-US" w:eastAsia="zh-CN"/>
        </w:rPr>
        <w:t>6.63</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三公经费逐年递减</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业务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859.32</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859.32</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960" w:firstLineChars="300"/>
        <w:rPr>
          <w:rFonts w:ascii="仿宋" w:hAnsi="仿宋" w:eastAsia="仿宋"/>
          <w:sz w:val="32"/>
          <w:szCs w:val="32"/>
        </w:rPr>
      </w:pPr>
      <w:r>
        <w:rPr>
          <w:rFonts w:hint="eastAsia" w:ascii="仿宋" w:hAnsi="仿宋" w:eastAsia="仿宋"/>
          <w:sz w:val="32"/>
          <w:szCs w:val="32"/>
          <w:lang w:eastAsia="zh-CN"/>
        </w:rPr>
        <w:t>嘉黎县融媒体中心</w:t>
      </w:r>
      <w:r>
        <w:rPr>
          <w:rFonts w:hint="eastAsia" w:ascii="仿宋" w:hAnsi="仿宋" w:eastAsia="仿宋"/>
          <w:sz w:val="32"/>
          <w:szCs w:val="32"/>
        </w:rPr>
        <w:t>无扶贫领域资金。</w:t>
      </w:r>
    </w:p>
    <w:p>
      <w:pPr>
        <w:ind w:firstLine="640" w:firstLineChars="200"/>
        <w:rPr>
          <w:rFonts w:hint="eastAsia" w:ascii="仿宋" w:hAnsi="仿宋" w:eastAsia="仿宋"/>
          <w:sz w:val="32"/>
          <w:szCs w:val="32"/>
          <w:lang w:eastAsia="zh-CN"/>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嘉黎县融媒体中心</w:t>
      </w:r>
      <w:r>
        <w:rPr>
          <w:rFonts w:hint="eastAsia" w:ascii="仿宋" w:hAnsi="仿宋" w:eastAsia="仿宋"/>
          <w:sz w:val="32"/>
          <w:szCs w:val="32"/>
        </w:rPr>
        <w:t>无政府债券资金</w:t>
      </w: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78164332">
    <w:nsid w:val="F313D96C"/>
    <w:multiLevelType w:val="singleLevel"/>
    <w:tmpl w:val="F313D96C"/>
    <w:lvl w:ilvl="0" w:tentative="1">
      <w:start w:val="1"/>
      <w:numFmt w:val="chineseCounting"/>
      <w:suff w:val="space"/>
      <w:lvlText w:val="第%1部分"/>
      <w:lvlJc w:val="left"/>
      <w:rPr>
        <w:rFonts w:hint="eastAsia"/>
      </w:rPr>
    </w:lvl>
  </w:abstractNum>
  <w:num w:numId="1">
    <w:abstractNumId w:val="4078164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6E5F"/>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609136C"/>
    <w:rsid w:val="0A554C8D"/>
    <w:rsid w:val="123C473F"/>
    <w:rsid w:val="16BE50DE"/>
    <w:rsid w:val="18974964"/>
    <w:rsid w:val="1FBE0F24"/>
    <w:rsid w:val="21AF4E62"/>
    <w:rsid w:val="235B6307"/>
    <w:rsid w:val="28207644"/>
    <w:rsid w:val="2A087F1D"/>
    <w:rsid w:val="2E9F6689"/>
    <w:rsid w:val="315D6715"/>
    <w:rsid w:val="48220665"/>
    <w:rsid w:val="48C514F3"/>
    <w:rsid w:val="48CD18F6"/>
    <w:rsid w:val="491F2AA1"/>
    <w:rsid w:val="5B053ACA"/>
    <w:rsid w:val="697D1B8F"/>
    <w:rsid w:val="748103FA"/>
    <w:rsid w:val="7BC417DF"/>
    <w:rsid w:val="7E0B25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2024-02-03T09:52:09Z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