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r>
        <w:rPr>
          <w:rFonts w:ascii="仿宋" w:hAnsi="仿宋" w:eastAsia="仿宋" w:cs="宋体"/>
          <w:color w:val="000000"/>
          <w:kern w:val="0"/>
          <w:sz w:val="32"/>
          <w:szCs w:val="32"/>
        </w:rPr>
        <w:t>202</w:t>
      </w:r>
      <w:r>
        <w:rPr>
          <w:rFonts w:hint="eastAsia" w:ascii="仿宋" w:hAnsi="仿宋" w:eastAsia="仿宋" w:cs="宋体"/>
          <w:color w:val="000000"/>
          <w:kern w:val="0"/>
          <w:sz w:val="32"/>
          <w:szCs w:val="32"/>
          <w:lang w:val="en-US" w:eastAsia="zh-CN"/>
        </w:rPr>
        <w:t>4</w:t>
      </w:r>
      <w:r>
        <w:rPr>
          <w:rFonts w:hint="eastAsia" w:ascii="仿宋" w:hAnsi="仿宋" w:eastAsia="仿宋" w:cs="宋体"/>
          <w:color w:val="000000"/>
          <w:kern w:val="0"/>
          <w:sz w:val="32"/>
          <w:szCs w:val="32"/>
        </w:rPr>
        <w:t>年部门预算信息公开模板</w:t>
      </w: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pacing w:line="576" w:lineRule="exact"/>
        <w:ind w:right="0" w:rightChars="0"/>
        <w:jc w:val="center"/>
        <w:textAlignment w:val="auto"/>
        <w:outlineLvl w:val="9"/>
        <w:rPr>
          <w:rFonts w:ascii="方正小标宋简体" w:hAnsi="仿宋" w:eastAsia="方正小标宋简体"/>
          <w:sz w:val="44"/>
          <w:szCs w:val="44"/>
        </w:rPr>
      </w:pPr>
      <w:r>
        <w:rPr>
          <w:rFonts w:hint="eastAsia" w:ascii="方正小标宋简体" w:hAnsi="仿宋" w:eastAsia="方正小标宋简体"/>
          <w:sz w:val="44"/>
          <w:szCs w:val="44"/>
        </w:rPr>
        <w:t>嘉黎县</w:t>
      </w:r>
      <w:r>
        <w:rPr>
          <w:rFonts w:hint="eastAsia" w:ascii="方正小标宋简体" w:hAnsi="仿宋" w:eastAsia="方正小标宋简体"/>
          <w:sz w:val="44"/>
          <w:szCs w:val="44"/>
          <w:lang w:eastAsia="zh-CN"/>
        </w:rPr>
        <w:t>统计局</w:t>
      </w:r>
      <w:r>
        <w:rPr>
          <w:rFonts w:hint="eastAsia" w:ascii="方正小标宋简体" w:hAnsi="仿宋" w:eastAsia="方正小标宋简体"/>
          <w:sz w:val="44"/>
          <w:szCs w:val="44"/>
        </w:rPr>
        <w:t>202</w:t>
      </w:r>
      <w:r>
        <w:rPr>
          <w:rFonts w:hint="eastAsia" w:ascii="方正小标宋简体" w:hAnsi="仿宋" w:eastAsia="方正小标宋简体"/>
          <w:sz w:val="44"/>
          <w:szCs w:val="44"/>
          <w:lang w:val="en-US" w:eastAsia="zh-CN"/>
        </w:rPr>
        <w:t>4</w:t>
      </w:r>
      <w:r>
        <w:rPr>
          <w:rFonts w:hint="eastAsia" w:ascii="方正小标宋简体" w:hAnsi="仿宋" w:eastAsia="方正小标宋简体"/>
          <w:sz w:val="44"/>
          <w:szCs w:val="44"/>
        </w:rPr>
        <w:t>年度部门预算</w:t>
      </w: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pacing w:line="576" w:lineRule="exact"/>
        <w:ind w:right="0" w:rightChars="0"/>
        <w:jc w:val="center"/>
        <w:textAlignment w:val="auto"/>
        <w:outlineLvl w:val="9"/>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31</w:t>
      </w:r>
      <w:r>
        <w:rPr>
          <w:rFonts w:hint="eastAsia" w:ascii="仿宋" w:hAnsi="仿宋" w:eastAsia="仿宋"/>
          <w:sz w:val="32"/>
          <w:szCs w:val="32"/>
        </w:rPr>
        <w:t>日</w:t>
      </w: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pacing w:line="576" w:lineRule="exact"/>
        <w:ind w:right="0" w:rightChars="0"/>
        <w:jc w:val="center"/>
        <w:textAlignment w:val="auto"/>
        <w:outlineLvl w:val="9"/>
        <w:rPr>
          <w:rFonts w:ascii="方正小标宋简体" w:hAnsi="仿宋" w:eastAsia="方正小标宋简体"/>
          <w:sz w:val="44"/>
          <w:szCs w:val="44"/>
        </w:rPr>
      </w:pPr>
      <w:r>
        <w:rPr>
          <w:rFonts w:hint="eastAsia" w:ascii="方正小标宋简体" w:hAnsi="仿宋" w:eastAsia="方正小标宋简体"/>
          <w:sz w:val="44"/>
          <w:szCs w:val="44"/>
        </w:rPr>
        <w:t>目  录</w:t>
      </w: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统计局</w:t>
      </w:r>
      <w:r>
        <w:rPr>
          <w:rFonts w:hint="eastAsia" w:ascii="方正小标宋简体" w:hAnsi="仿宋" w:eastAsia="方正小标宋简体"/>
          <w:sz w:val="32"/>
          <w:szCs w:val="32"/>
        </w:rPr>
        <w:t>概况</w:t>
      </w:r>
    </w:p>
    <w:p>
      <w:pPr>
        <w:keepNext w:val="0"/>
        <w:keepLines w:val="0"/>
        <w:pageBreakBefore w:val="0"/>
        <w:widowControl w:val="0"/>
        <w:kinsoku/>
        <w:wordWrap/>
        <w:overflowPunct/>
        <w:topLinePunct w:val="0"/>
        <w:bidi w:val="0"/>
        <w:spacing w:line="576" w:lineRule="exact"/>
        <w:ind w:right="0" w:rightChars="0"/>
        <w:textAlignment w:val="auto"/>
        <w:outlineLvl w:val="9"/>
        <w:rPr>
          <w:rFonts w:ascii="黑体" w:hAnsi="黑体" w:eastAsia="黑体"/>
          <w:sz w:val="32"/>
          <w:szCs w:val="32"/>
        </w:rPr>
      </w:pPr>
      <w:r>
        <w:rPr>
          <w:rFonts w:hint="eastAsia" w:ascii="黑体" w:hAnsi="黑体" w:eastAsia="黑体"/>
          <w:sz w:val="32"/>
          <w:szCs w:val="32"/>
        </w:rPr>
        <w:t>一、主要职能</w:t>
      </w:r>
    </w:p>
    <w:p>
      <w:pPr>
        <w:keepNext w:val="0"/>
        <w:keepLines w:val="0"/>
        <w:pageBreakBefore w:val="0"/>
        <w:widowControl w:val="0"/>
        <w:kinsoku/>
        <w:wordWrap/>
        <w:overflowPunct/>
        <w:topLinePunct w:val="0"/>
        <w:bidi w:val="0"/>
        <w:spacing w:line="576" w:lineRule="exact"/>
        <w:ind w:right="0" w:rightChars="0"/>
        <w:textAlignment w:val="auto"/>
        <w:outlineLvl w:val="9"/>
        <w:rPr>
          <w:rFonts w:ascii="黑体" w:hAnsi="黑体" w:eastAsia="黑体"/>
          <w:sz w:val="32"/>
          <w:szCs w:val="32"/>
        </w:rPr>
      </w:pPr>
      <w:r>
        <w:rPr>
          <w:rFonts w:hint="eastAsia" w:ascii="黑体" w:hAnsi="黑体" w:eastAsia="黑体"/>
          <w:sz w:val="32"/>
          <w:szCs w:val="32"/>
        </w:rPr>
        <w:t>二、部门预算单位构成</w:t>
      </w:r>
    </w:p>
    <w:p>
      <w:pPr>
        <w:keepNext w:val="0"/>
        <w:keepLines w:val="0"/>
        <w:pageBreakBefore w:val="0"/>
        <w:widowControl w:val="0"/>
        <w:kinsoku/>
        <w:wordWrap/>
        <w:overflowPunct/>
        <w:topLinePunct w:val="0"/>
        <w:bidi w:val="0"/>
        <w:spacing w:line="576" w:lineRule="exact"/>
        <w:ind w:right="0" w:rightChars="0"/>
        <w:textAlignment w:val="auto"/>
        <w:outlineLvl w:val="9"/>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统计局</w:t>
      </w:r>
      <w:r>
        <w:rPr>
          <w:rFonts w:hint="eastAsia" w:ascii="方正小标宋简体" w:hAnsi="仿宋" w:eastAsia="方正小标宋简体"/>
          <w:sz w:val="32"/>
          <w:szCs w:val="32"/>
        </w:rPr>
        <w:t>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年度部门预算明细表</w:t>
      </w:r>
    </w:p>
    <w:p>
      <w:pPr>
        <w:keepNext w:val="0"/>
        <w:keepLines w:val="0"/>
        <w:pageBreakBefore w:val="0"/>
        <w:widowControl w:val="0"/>
        <w:kinsoku/>
        <w:wordWrap/>
        <w:overflowPunct/>
        <w:topLinePunct w:val="0"/>
        <w:bidi w:val="0"/>
        <w:spacing w:line="576" w:lineRule="exact"/>
        <w:ind w:right="0" w:rightChars="0"/>
        <w:textAlignment w:val="auto"/>
        <w:outlineLvl w:val="9"/>
        <w:rPr>
          <w:rFonts w:ascii="黑体" w:hAnsi="黑体" w:eastAsia="黑体"/>
          <w:sz w:val="32"/>
          <w:szCs w:val="32"/>
        </w:rPr>
      </w:pPr>
      <w:r>
        <w:rPr>
          <w:rFonts w:hint="eastAsia" w:ascii="黑体" w:hAnsi="黑体" w:eastAsia="黑体"/>
          <w:sz w:val="32"/>
          <w:szCs w:val="32"/>
        </w:rPr>
        <w:t>一、部门收支总体情况表</w:t>
      </w:r>
    </w:p>
    <w:p>
      <w:pPr>
        <w:keepNext w:val="0"/>
        <w:keepLines w:val="0"/>
        <w:pageBreakBefore w:val="0"/>
        <w:widowControl w:val="0"/>
        <w:kinsoku/>
        <w:wordWrap/>
        <w:overflowPunct/>
        <w:topLinePunct w:val="0"/>
        <w:bidi w:val="0"/>
        <w:spacing w:line="576" w:lineRule="exact"/>
        <w:ind w:right="0" w:rightChars="0"/>
        <w:textAlignment w:val="auto"/>
        <w:outlineLvl w:val="9"/>
        <w:rPr>
          <w:rFonts w:ascii="黑体" w:hAnsi="黑体" w:eastAsia="黑体"/>
          <w:sz w:val="32"/>
          <w:szCs w:val="32"/>
        </w:rPr>
      </w:pPr>
      <w:r>
        <w:rPr>
          <w:rFonts w:hint="eastAsia" w:ascii="黑体" w:hAnsi="黑体" w:eastAsia="黑体"/>
          <w:sz w:val="32"/>
          <w:szCs w:val="32"/>
        </w:rPr>
        <w:t>二、部门收入总体情况表</w:t>
      </w:r>
    </w:p>
    <w:p>
      <w:pPr>
        <w:keepNext w:val="0"/>
        <w:keepLines w:val="0"/>
        <w:pageBreakBefore w:val="0"/>
        <w:widowControl w:val="0"/>
        <w:kinsoku/>
        <w:wordWrap/>
        <w:overflowPunct/>
        <w:topLinePunct w:val="0"/>
        <w:bidi w:val="0"/>
        <w:spacing w:line="576" w:lineRule="exact"/>
        <w:ind w:right="0" w:rightChars="0"/>
        <w:textAlignment w:val="auto"/>
        <w:outlineLvl w:val="9"/>
        <w:rPr>
          <w:rFonts w:ascii="黑体" w:hAnsi="黑体" w:eastAsia="黑体"/>
          <w:sz w:val="32"/>
          <w:szCs w:val="32"/>
        </w:rPr>
      </w:pPr>
      <w:r>
        <w:rPr>
          <w:rFonts w:hint="eastAsia" w:ascii="黑体" w:hAnsi="黑体" w:eastAsia="黑体"/>
          <w:sz w:val="32"/>
          <w:szCs w:val="32"/>
        </w:rPr>
        <w:t>三、部门支出总体情况表</w:t>
      </w:r>
    </w:p>
    <w:p>
      <w:pPr>
        <w:keepNext w:val="0"/>
        <w:keepLines w:val="0"/>
        <w:pageBreakBefore w:val="0"/>
        <w:widowControl w:val="0"/>
        <w:kinsoku/>
        <w:wordWrap/>
        <w:overflowPunct/>
        <w:topLinePunct w:val="0"/>
        <w:bidi w:val="0"/>
        <w:spacing w:line="576" w:lineRule="exact"/>
        <w:ind w:right="0" w:rightChars="0"/>
        <w:textAlignment w:val="auto"/>
        <w:outlineLvl w:val="9"/>
        <w:rPr>
          <w:rFonts w:ascii="黑体" w:hAnsi="黑体" w:eastAsia="黑体"/>
          <w:sz w:val="32"/>
          <w:szCs w:val="32"/>
        </w:rPr>
      </w:pPr>
      <w:r>
        <w:rPr>
          <w:rFonts w:hint="eastAsia" w:ascii="黑体" w:hAnsi="黑体" w:eastAsia="黑体"/>
          <w:sz w:val="32"/>
          <w:szCs w:val="32"/>
        </w:rPr>
        <w:t>四、财政拨款收支总体情况表</w:t>
      </w:r>
    </w:p>
    <w:p>
      <w:pPr>
        <w:keepNext w:val="0"/>
        <w:keepLines w:val="0"/>
        <w:pageBreakBefore w:val="0"/>
        <w:widowControl w:val="0"/>
        <w:kinsoku/>
        <w:wordWrap/>
        <w:overflowPunct/>
        <w:topLinePunct w:val="0"/>
        <w:bidi w:val="0"/>
        <w:spacing w:line="576" w:lineRule="exact"/>
        <w:ind w:right="0" w:rightChars="0"/>
        <w:textAlignment w:val="auto"/>
        <w:outlineLvl w:val="9"/>
        <w:rPr>
          <w:rFonts w:ascii="黑体" w:hAnsi="黑体" w:eastAsia="黑体"/>
          <w:sz w:val="32"/>
          <w:szCs w:val="32"/>
        </w:rPr>
      </w:pPr>
      <w:r>
        <w:rPr>
          <w:rFonts w:hint="eastAsia" w:ascii="黑体" w:hAnsi="黑体" w:eastAsia="黑体"/>
          <w:sz w:val="32"/>
          <w:szCs w:val="32"/>
        </w:rPr>
        <w:t>五、一般公共预算支出情况表（按功能分类科目）</w:t>
      </w:r>
    </w:p>
    <w:p>
      <w:pPr>
        <w:keepNext w:val="0"/>
        <w:keepLines w:val="0"/>
        <w:pageBreakBefore w:val="0"/>
        <w:widowControl w:val="0"/>
        <w:kinsoku/>
        <w:wordWrap/>
        <w:overflowPunct/>
        <w:topLinePunct w:val="0"/>
        <w:bidi w:val="0"/>
        <w:spacing w:line="576" w:lineRule="exact"/>
        <w:ind w:right="0" w:rightChars="0"/>
        <w:textAlignment w:val="auto"/>
        <w:outlineLvl w:val="9"/>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keepNext w:val="0"/>
        <w:keepLines w:val="0"/>
        <w:pageBreakBefore w:val="0"/>
        <w:widowControl w:val="0"/>
        <w:kinsoku/>
        <w:wordWrap/>
        <w:overflowPunct/>
        <w:topLinePunct w:val="0"/>
        <w:bidi w:val="0"/>
        <w:spacing w:line="576" w:lineRule="exact"/>
        <w:ind w:right="0" w:rightChars="0"/>
        <w:textAlignment w:val="auto"/>
        <w:outlineLvl w:val="9"/>
        <w:rPr>
          <w:rFonts w:ascii="黑体" w:hAnsi="黑体" w:eastAsia="黑体"/>
          <w:sz w:val="32"/>
          <w:szCs w:val="32"/>
        </w:rPr>
      </w:pPr>
      <w:r>
        <w:rPr>
          <w:rFonts w:hint="eastAsia" w:ascii="黑体" w:hAnsi="黑体" w:eastAsia="黑体"/>
          <w:sz w:val="32"/>
          <w:szCs w:val="32"/>
        </w:rPr>
        <w:t>七、一般公共预算“三公”经费支出情况表</w:t>
      </w:r>
    </w:p>
    <w:p>
      <w:pPr>
        <w:keepNext w:val="0"/>
        <w:keepLines w:val="0"/>
        <w:pageBreakBefore w:val="0"/>
        <w:widowControl w:val="0"/>
        <w:kinsoku/>
        <w:wordWrap/>
        <w:overflowPunct/>
        <w:topLinePunct w:val="0"/>
        <w:bidi w:val="0"/>
        <w:spacing w:line="576" w:lineRule="exact"/>
        <w:ind w:right="0" w:rightChars="0"/>
        <w:textAlignment w:val="auto"/>
        <w:outlineLvl w:val="9"/>
        <w:rPr>
          <w:rFonts w:ascii="黑体" w:hAnsi="黑体" w:eastAsia="黑体"/>
          <w:sz w:val="32"/>
          <w:szCs w:val="32"/>
        </w:rPr>
      </w:pPr>
      <w:r>
        <w:rPr>
          <w:rFonts w:hint="eastAsia" w:ascii="黑体" w:hAnsi="黑体" w:eastAsia="黑体"/>
          <w:sz w:val="32"/>
          <w:szCs w:val="32"/>
        </w:rPr>
        <w:t>八、政府性基金“三公”经费支出情况表</w:t>
      </w:r>
    </w:p>
    <w:p>
      <w:pPr>
        <w:keepNext w:val="0"/>
        <w:keepLines w:val="0"/>
        <w:pageBreakBefore w:val="0"/>
        <w:widowControl w:val="0"/>
        <w:kinsoku/>
        <w:wordWrap/>
        <w:overflowPunct/>
        <w:topLinePunct w:val="0"/>
        <w:bidi w:val="0"/>
        <w:spacing w:line="576" w:lineRule="exact"/>
        <w:ind w:right="0" w:rightChars="0"/>
        <w:textAlignment w:val="auto"/>
        <w:outlineLvl w:val="9"/>
        <w:rPr>
          <w:rFonts w:ascii="黑体" w:hAnsi="黑体" w:eastAsia="黑体"/>
          <w:sz w:val="32"/>
          <w:szCs w:val="32"/>
        </w:rPr>
      </w:pPr>
      <w:r>
        <w:rPr>
          <w:rFonts w:hint="eastAsia" w:ascii="黑体" w:hAnsi="黑体" w:eastAsia="黑体"/>
          <w:sz w:val="32"/>
          <w:szCs w:val="32"/>
        </w:rPr>
        <w:t>九、政府性基金预算支出情况表</w:t>
      </w:r>
    </w:p>
    <w:p>
      <w:pPr>
        <w:keepNext w:val="0"/>
        <w:keepLines w:val="0"/>
        <w:pageBreakBefore w:val="0"/>
        <w:widowControl w:val="0"/>
        <w:kinsoku/>
        <w:wordWrap/>
        <w:overflowPunct/>
        <w:topLinePunct w:val="0"/>
        <w:bidi w:val="0"/>
        <w:spacing w:line="576" w:lineRule="exact"/>
        <w:ind w:right="0" w:rightChars="0"/>
        <w:textAlignment w:val="auto"/>
        <w:outlineLvl w:val="9"/>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keepNext w:val="0"/>
        <w:keepLines w:val="0"/>
        <w:pageBreakBefore w:val="0"/>
        <w:widowControl w:val="0"/>
        <w:kinsoku/>
        <w:wordWrap/>
        <w:overflowPunct/>
        <w:topLinePunct w:val="0"/>
        <w:bidi w:val="0"/>
        <w:spacing w:line="576" w:lineRule="exact"/>
        <w:ind w:right="0" w:rightChars="0"/>
        <w:textAlignment w:val="auto"/>
        <w:outlineLvl w:val="9"/>
        <w:rPr>
          <w:rFonts w:ascii="黑体" w:hAnsi="黑体" w:eastAsia="黑体"/>
          <w:sz w:val="32"/>
          <w:szCs w:val="32"/>
        </w:rPr>
      </w:pPr>
      <w:r>
        <w:rPr>
          <w:rFonts w:hint="eastAsia" w:ascii="黑体" w:hAnsi="黑体" w:eastAsia="黑体"/>
          <w:sz w:val="32"/>
          <w:szCs w:val="32"/>
        </w:rPr>
        <w:t>十一、项目支出绩效表</w:t>
      </w:r>
    </w:p>
    <w:p>
      <w:pPr>
        <w:keepNext w:val="0"/>
        <w:keepLines w:val="0"/>
        <w:pageBreakBefore w:val="0"/>
        <w:widowControl w:val="0"/>
        <w:kinsoku/>
        <w:wordWrap/>
        <w:overflowPunct/>
        <w:topLinePunct w:val="0"/>
        <w:bidi w:val="0"/>
        <w:spacing w:line="576" w:lineRule="exact"/>
        <w:ind w:right="0" w:rightChars="0"/>
        <w:textAlignment w:val="auto"/>
        <w:outlineLvl w:val="9"/>
        <w:rPr>
          <w:rFonts w:ascii="方正小标宋简体" w:hAnsi="仿宋" w:eastAsia="方正小标宋简体"/>
          <w:sz w:val="32"/>
          <w:szCs w:val="32"/>
        </w:rPr>
      </w:pPr>
      <w:r>
        <w:rPr>
          <w:rFonts w:hint="eastAsia" w:ascii="方正小标宋简体" w:hAnsi="仿宋" w:eastAsia="方正小标宋简体"/>
          <w:sz w:val="32"/>
          <w:szCs w:val="32"/>
        </w:rPr>
        <w:t>第三部分</w:t>
      </w:r>
      <w:r>
        <w:rPr>
          <w:rFonts w:hint="eastAsia" w:ascii="方正小标宋简体" w:hAnsi="仿宋" w:eastAsia="方正小标宋简体"/>
          <w:sz w:val="32"/>
          <w:szCs w:val="32"/>
          <w:lang w:eastAsia="zh-CN"/>
        </w:rPr>
        <w:t>统计局</w:t>
      </w:r>
      <w:r>
        <w:rPr>
          <w:rFonts w:hint="eastAsia" w:ascii="方正小标宋简体" w:hAnsi="仿宋" w:eastAsia="方正小标宋简体"/>
          <w:sz w:val="32"/>
          <w:szCs w:val="32"/>
        </w:rPr>
        <w:t>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年度部门预算数据分析</w:t>
      </w:r>
    </w:p>
    <w:p>
      <w:pPr>
        <w:keepNext w:val="0"/>
        <w:keepLines w:val="0"/>
        <w:pageBreakBefore w:val="0"/>
        <w:widowControl w:val="0"/>
        <w:kinsoku/>
        <w:wordWrap/>
        <w:overflowPunct/>
        <w:topLinePunct w:val="0"/>
        <w:bidi w:val="0"/>
        <w:spacing w:line="576" w:lineRule="exact"/>
        <w:ind w:right="0" w:rightChars="0"/>
        <w:textAlignment w:val="auto"/>
        <w:outlineLvl w:val="9"/>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pacing w:line="576" w:lineRule="exact"/>
        <w:ind w:right="0" w:rightChars="0"/>
        <w:jc w:val="center"/>
        <w:textAlignment w:val="auto"/>
        <w:outlineLvl w:val="9"/>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pacing w:line="576" w:lineRule="exact"/>
        <w:ind w:right="0" w:rightChars="0"/>
        <w:jc w:val="center"/>
        <w:textAlignment w:val="auto"/>
        <w:outlineLvl w:val="9"/>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keepNext w:val="0"/>
        <w:keepLines w:val="0"/>
        <w:pageBreakBefore w:val="0"/>
        <w:widowControl w:val="0"/>
        <w:kinsoku/>
        <w:wordWrap/>
        <w:overflowPunct/>
        <w:topLinePunct w:val="0"/>
        <w:bidi w:val="0"/>
        <w:spacing w:line="576" w:lineRule="exact"/>
        <w:ind w:right="0" w:rightChars="0"/>
        <w:jc w:val="center"/>
        <w:textAlignment w:val="auto"/>
        <w:outlineLvl w:val="9"/>
        <w:rPr>
          <w:rFonts w:ascii="方正小标宋简体" w:hAnsi="仿宋" w:eastAsia="方正小标宋简体"/>
          <w:sz w:val="32"/>
          <w:szCs w:val="32"/>
        </w:rPr>
      </w:pPr>
      <w:r>
        <w:rPr>
          <w:rFonts w:hint="eastAsia" w:ascii="方正小标宋简体" w:hAnsi="仿宋" w:eastAsia="方正小标宋简体"/>
          <w:sz w:val="32"/>
          <w:szCs w:val="32"/>
          <w:lang w:eastAsia="zh-CN"/>
        </w:rPr>
        <w:t>统计局</w:t>
      </w:r>
      <w:r>
        <w:rPr>
          <w:rFonts w:hint="eastAsia" w:ascii="方正小标宋简体" w:hAnsi="仿宋" w:eastAsia="方正小标宋简体"/>
          <w:sz w:val="32"/>
          <w:szCs w:val="32"/>
        </w:rPr>
        <w:t>概况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ascii="黑体" w:hAnsi="黑体" w:eastAsia="黑体"/>
          <w:sz w:val="32"/>
          <w:szCs w:val="32"/>
        </w:rPr>
      </w:pPr>
      <w:r>
        <w:rPr>
          <w:rFonts w:hint="eastAsia" w:ascii="黑体" w:hAnsi="黑体" w:eastAsia="黑体"/>
          <w:sz w:val="32"/>
          <w:szCs w:val="32"/>
        </w:rPr>
        <w:t>一、主要职能</w:t>
      </w:r>
    </w:p>
    <w:p>
      <w:pPr>
        <w:ind w:firstLine="640" w:firstLineChars="200"/>
        <w:rPr>
          <w:rFonts w:ascii="仿宋" w:hAnsi="仿宋" w:eastAsia="仿宋"/>
          <w:sz w:val="32"/>
          <w:szCs w:val="32"/>
        </w:rPr>
      </w:pPr>
      <w:r>
        <w:rPr>
          <w:rFonts w:hint="eastAsia" w:ascii="仿宋" w:hAnsi="仿宋" w:eastAsia="仿宋"/>
          <w:sz w:val="32"/>
          <w:szCs w:val="32"/>
        </w:rPr>
        <w:t>1、贯彻执行国家机关关于统计工作的方针和政策和法律法规，起草统计地方性法规草案和规章草案，拟定统计发展规划，监督检查统计法律法规的实施；承担组织领导和协调全县统计工作，确保统计数据真实、准确、及时的责任；指导全县统计工作。</w:t>
      </w:r>
    </w:p>
    <w:p>
      <w:pPr>
        <w:ind w:firstLine="640" w:firstLineChars="200"/>
        <w:rPr>
          <w:rFonts w:hint="eastAsia" w:ascii="仿宋" w:hAnsi="仿宋" w:eastAsia="仿宋"/>
          <w:sz w:val="32"/>
          <w:szCs w:val="32"/>
        </w:rPr>
      </w:pPr>
      <w:r>
        <w:rPr>
          <w:rFonts w:hint="eastAsia" w:ascii="仿宋" w:hAnsi="仿宋" w:eastAsia="仿宋"/>
          <w:sz w:val="32"/>
          <w:szCs w:val="32"/>
        </w:rPr>
        <w:t>2、建立健全全县国民经济核算体系，拟订国民经济核算制度，组织实施全县国民经济核算制度和投入产出调查，核算全县国内生产总值，汇编提供国民经济核算资料。</w:t>
      </w:r>
    </w:p>
    <w:p>
      <w:pPr>
        <w:ind w:firstLine="640" w:firstLineChars="200"/>
        <w:rPr>
          <w:rFonts w:ascii="仿宋" w:hAnsi="仿宋" w:eastAsia="仿宋"/>
          <w:sz w:val="32"/>
          <w:szCs w:val="32"/>
        </w:rPr>
      </w:pPr>
      <w:r>
        <w:rPr>
          <w:rFonts w:hint="eastAsia" w:ascii="仿宋" w:hAnsi="仿宋" w:eastAsia="仿宋"/>
          <w:sz w:val="32"/>
          <w:szCs w:val="32"/>
        </w:rPr>
        <w:t xml:space="preserve"> 3、贯彻实施国家和自治区统计调查计划和制定全县统计指标体系；完成国家、自治区、市政府和县政府统计调查任务，执行统一标准和基本统计报表制度。</w:t>
      </w:r>
    </w:p>
    <w:p>
      <w:pPr>
        <w:ind w:firstLine="640" w:firstLineChars="200"/>
        <w:rPr>
          <w:rFonts w:ascii="仿宋" w:hAnsi="仿宋" w:eastAsia="仿宋"/>
          <w:sz w:val="32"/>
          <w:szCs w:val="32"/>
        </w:rPr>
      </w:pPr>
      <w:r>
        <w:rPr>
          <w:rFonts w:hint="eastAsia" w:ascii="仿宋" w:hAnsi="仿宋" w:eastAsia="仿宋"/>
          <w:sz w:val="32"/>
          <w:szCs w:val="32"/>
        </w:rPr>
        <w:t>4、按照自治区人民政府及那曲市人民政府、县人民政府的统一部署，会同有关部门拟定县情县力普查方案，组织实施全县人口、经济、农业等有关普查、专项调查，搜集、整理和提供有关统计数据，统一协调各乡（镇）各部门的社会经济抽样调查。</w:t>
      </w:r>
    </w:p>
    <w:p>
      <w:pPr>
        <w:ind w:firstLine="640" w:firstLineChars="200"/>
        <w:rPr>
          <w:rFonts w:ascii="仿宋" w:hAnsi="仿宋" w:eastAsia="仿宋"/>
          <w:sz w:val="32"/>
          <w:szCs w:val="32"/>
        </w:rPr>
      </w:pPr>
      <w:r>
        <w:rPr>
          <w:rFonts w:hint="eastAsia" w:ascii="仿宋" w:hAnsi="仿宋" w:eastAsia="仿宋"/>
          <w:sz w:val="32"/>
          <w:szCs w:val="32"/>
        </w:rPr>
        <w:t>5、组织实施能源、投资、收入、科技、人口、劳动力、社会发展基本情况环境基本状况等统计调查，收集、汇总、整理和提供有关调查的统计数据，综合整理和提供资源、房屋、对外贸易等基本统计数据。</w:t>
      </w:r>
    </w:p>
    <w:p>
      <w:pPr>
        <w:ind w:firstLine="640" w:firstLineChars="200"/>
        <w:rPr>
          <w:rFonts w:ascii="仿宋" w:hAnsi="仿宋" w:eastAsia="仿宋"/>
          <w:sz w:val="32"/>
          <w:szCs w:val="32"/>
        </w:rPr>
      </w:pPr>
      <w:r>
        <w:rPr>
          <w:rFonts w:hint="eastAsia" w:ascii="仿宋" w:hAnsi="仿宋" w:eastAsia="仿宋"/>
          <w:sz w:val="32"/>
          <w:szCs w:val="32"/>
        </w:rPr>
        <w:t>6、组织各乡（镇）和各部门的经济、社会、科技和资源坏境统计调查；统一核定、管理、公布全县基本统计资料，定期发布全县国民经济和社会发展情况的统计信息，组织建立统计信息共享制度和发布制度。</w:t>
      </w:r>
    </w:p>
    <w:p>
      <w:pPr>
        <w:ind w:firstLine="640" w:firstLineChars="200"/>
        <w:rPr>
          <w:rFonts w:ascii="仿宋" w:hAnsi="仿宋" w:eastAsia="仿宋"/>
          <w:sz w:val="32"/>
          <w:szCs w:val="32"/>
        </w:rPr>
      </w:pPr>
      <w:r>
        <w:rPr>
          <w:rFonts w:hint="eastAsia" w:ascii="仿宋" w:hAnsi="仿宋" w:eastAsia="仿宋"/>
          <w:sz w:val="32"/>
          <w:szCs w:val="32"/>
        </w:rPr>
        <w:t>7、对国民经济、社会发展、科技进步和资源环境等情况进行统计分析、统计预测和统计监督，向县委、县政府及有关部门提供统计信息和咨询建议。</w:t>
      </w:r>
    </w:p>
    <w:p>
      <w:pPr>
        <w:ind w:firstLine="640" w:firstLineChars="200"/>
        <w:rPr>
          <w:rFonts w:ascii="仿宋" w:hAnsi="仿宋" w:eastAsia="仿宋"/>
          <w:sz w:val="32"/>
          <w:szCs w:val="32"/>
        </w:rPr>
      </w:pPr>
      <w:r>
        <w:rPr>
          <w:rFonts w:hint="eastAsia" w:ascii="仿宋" w:hAnsi="仿宋" w:eastAsia="仿宋"/>
          <w:sz w:val="32"/>
          <w:szCs w:val="32"/>
        </w:rPr>
        <w:t>8、依法审批和备案县直各部门统计调查项目，指导专业统计基础工作、统计基层业务基础建设，组织建立服务业统计信息管理制度，建立健全统计数据质量审核、监控和评估制度，开展对重要统计数据的审核、监控和评估，依法监督管理涉外统计调查活动。</w:t>
      </w:r>
    </w:p>
    <w:p>
      <w:pPr>
        <w:ind w:firstLine="640" w:firstLineChars="200"/>
        <w:rPr>
          <w:rFonts w:ascii="仿宋" w:hAnsi="仿宋" w:eastAsia="仿宋"/>
          <w:sz w:val="32"/>
          <w:szCs w:val="32"/>
        </w:rPr>
      </w:pPr>
      <w:r>
        <w:rPr>
          <w:rFonts w:hint="eastAsia" w:ascii="仿宋" w:hAnsi="仿宋" w:eastAsia="仿宋"/>
          <w:sz w:val="32"/>
          <w:szCs w:val="32"/>
        </w:rPr>
        <w:t>9、指导全县统计专业技术队伍建设；协助有关部门组织实施全县统计专业资格考试、职务评聘和从业资格认定工作；监督管理县、乡两级统计部门由自治区、地区、县财政投资的统计经费和专项基本建设投资。</w:t>
      </w:r>
    </w:p>
    <w:p>
      <w:pPr>
        <w:ind w:firstLine="640" w:firstLineChars="200"/>
        <w:rPr>
          <w:rFonts w:ascii="仿宋" w:hAnsi="仿宋" w:eastAsia="仿宋"/>
          <w:sz w:val="32"/>
          <w:szCs w:val="32"/>
        </w:rPr>
      </w:pPr>
      <w:r>
        <w:rPr>
          <w:rFonts w:hint="eastAsia" w:ascii="仿宋" w:hAnsi="仿宋" w:eastAsia="仿宋"/>
          <w:sz w:val="32"/>
          <w:szCs w:val="32"/>
        </w:rPr>
        <w:t>10、建立健全和管理全县统计信息自动化系统和统计数据库体系，组织、推广计算机及传输技术在我县统计工作中的运用，指导各乡（镇）统计信息化系统建设。</w:t>
      </w:r>
    </w:p>
    <w:p>
      <w:pPr>
        <w:keepNext w:val="0"/>
        <w:keepLines w:val="0"/>
        <w:pageBreakBefore w:val="0"/>
        <w:widowControl w:val="0"/>
        <w:kinsoku/>
        <w:wordWrap/>
        <w:overflowPunct/>
        <w:topLinePunct w:val="0"/>
        <w:bidi w:val="0"/>
        <w:spacing w:line="576" w:lineRule="exact"/>
        <w:ind w:right="0" w:rightChars="0"/>
        <w:textAlignment w:val="auto"/>
        <w:outlineLvl w:val="9"/>
        <w:rPr>
          <w:rFonts w:ascii="黑体" w:hAnsi="黑体" w:eastAsia="黑体"/>
          <w:sz w:val="32"/>
          <w:szCs w:val="32"/>
        </w:rPr>
      </w:pPr>
      <w:r>
        <w:rPr>
          <w:rFonts w:hint="eastAsia" w:ascii="黑体" w:hAnsi="黑体" w:eastAsia="黑体"/>
          <w:sz w:val="32"/>
          <w:szCs w:val="32"/>
        </w:rPr>
        <w:t>二、部门预算单位构成</w:t>
      </w:r>
    </w:p>
    <w:p>
      <w:pPr>
        <w:keepNext w:val="0"/>
        <w:keepLines w:val="0"/>
        <w:pageBreakBefore w:val="0"/>
        <w:widowControl w:val="0"/>
        <w:kinsoku/>
        <w:wordWrap/>
        <w:overflowPunct/>
        <w:topLinePunct w:val="0"/>
        <w:bidi w:val="0"/>
        <w:spacing w:line="576" w:lineRule="exact"/>
        <w:ind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部门内设</w:t>
      </w:r>
      <w:r>
        <w:rPr>
          <w:rFonts w:hint="eastAsia" w:ascii="仿宋" w:hAnsi="仿宋" w:eastAsia="仿宋"/>
          <w:sz w:val="32"/>
          <w:szCs w:val="32"/>
          <w:u w:val="single"/>
        </w:rPr>
        <w:t xml:space="preserve"> 1 </w:t>
      </w:r>
      <w:r>
        <w:rPr>
          <w:rFonts w:hint="eastAsia" w:ascii="仿宋" w:hAnsi="仿宋" w:eastAsia="仿宋"/>
          <w:sz w:val="32"/>
          <w:szCs w:val="32"/>
        </w:rPr>
        <w:t>个机构、</w:t>
      </w:r>
      <w:r>
        <w:rPr>
          <w:rFonts w:hint="eastAsia" w:ascii="仿宋" w:hAnsi="仿宋" w:eastAsia="仿宋"/>
          <w:sz w:val="32"/>
          <w:szCs w:val="32"/>
          <w:u w:val="single"/>
        </w:rPr>
        <w:t xml:space="preserve"> 0  </w:t>
      </w:r>
      <w:r>
        <w:rPr>
          <w:rFonts w:hint="eastAsia" w:ascii="仿宋" w:hAnsi="仿宋" w:eastAsia="仿宋"/>
          <w:sz w:val="32"/>
          <w:szCs w:val="32"/>
        </w:rPr>
        <w:t>个处（详细到个二级预算单位。</w:t>
      </w:r>
    </w:p>
    <w:p>
      <w:pPr>
        <w:keepNext w:val="0"/>
        <w:keepLines w:val="0"/>
        <w:pageBreakBefore w:val="0"/>
        <w:widowControl w:val="0"/>
        <w:kinsoku/>
        <w:wordWrap/>
        <w:overflowPunct/>
        <w:topLinePunct w:val="0"/>
        <w:bidi w:val="0"/>
        <w:spacing w:line="576" w:lineRule="exact"/>
        <w:ind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纳入本部门202</w:t>
      </w:r>
      <w:r>
        <w:rPr>
          <w:rFonts w:hint="eastAsia" w:ascii="仿宋" w:hAnsi="仿宋" w:eastAsia="仿宋"/>
          <w:sz w:val="32"/>
          <w:szCs w:val="32"/>
          <w:lang w:val="en-US" w:eastAsia="zh-CN"/>
        </w:rPr>
        <w:t>4</w:t>
      </w:r>
      <w:r>
        <w:rPr>
          <w:rFonts w:hint="eastAsia" w:ascii="仿宋" w:hAnsi="仿宋" w:eastAsia="仿宋"/>
          <w:sz w:val="32"/>
          <w:szCs w:val="32"/>
        </w:rPr>
        <w:t>年部门预算编制范围的二级预算单位包括：</w:t>
      </w:r>
    </w:p>
    <w:p>
      <w:pPr>
        <w:keepNext w:val="0"/>
        <w:keepLines w:val="0"/>
        <w:pageBreakBefore w:val="0"/>
        <w:widowControl w:val="0"/>
        <w:kinsoku/>
        <w:wordWrap/>
        <w:overflowPunct/>
        <w:topLinePunct w:val="0"/>
        <w:bidi w:val="0"/>
        <w:spacing w:line="576" w:lineRule="exact"/>
        <w:ind w:right="0" w:rightChars="0"/>
        <w:jc w:val="center"/>
        <w:textAlignment w:val="auto"/>
        <w:outlineLvl w:val="9"/>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pacing w:line="576" w:lineRule="exact"/>
        <w:ind w:right="0" w:rightChars="0"/>
        <w:jc w:val="center"/>
        <w:textAlignment w:val="auto"/>
        <w:outlineLvl w:val="9"/>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pacing w:line="576" w:lineRule="exact"/>
        <w:ind w:right="0" w:rightChars="0"/>
        <w:jc w:val="center"/>
        <w:textAlignment w:val="auto"/>
        <w:outlineLvl w:val="9"/>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pacing w:line="576" w:lineRule="exact"/>
        <w:ind w:right="0" w:rightChars="0"/>
        <w:jc w:val="center"/>
        <w:textAlignment w:val="auto"/>
        <w:outlineLvl w:val="9"/>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pacing w:line="576" w:lineRule="exact"/>
        <w:ind w:right="0" w:rightChars="0"/>
        <w:jc w:val="center"/>
        <w:textAlignment w:val="auto"/>
        <w:outlineLvl w:val="9"/>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pacing w:line="576" w:lineRule="exact"/>
        <w:ind w:right="0" w:rightChars="0"/>
        <w:jc w:val="center"/>
        <w:textAlignment w:val="auto"/>
        <w:outlineLvl w:val="9"/>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pacing w:line="576" w:lineRule="exact"/>
        <w:ind w:right="0" w:rightChars="0"/>
        <w:jc w:val="center"/>
        <w:textAlignment w:val="auto"/>
        <w:outlineLvl w:val="9"/>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pacing w:line="576" w:lineRule="exact"/>
        <w:ind w:right="0" w:rightChars="0"/>
        <w:jc w:val="center"/>
        <w:textAlignment w:val="auto"/>
        <w:outlineLvl w:val="9"/>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pacing w:line="576" w:lineRule="exact"/>
        <w:ind w:right="0" w:rightChars="0"/>
        <w:jc w:val="center"/>
        <w:textAlignment w:val="auto"/>
        <w:outlineLvl w:val="9"/>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pacing w:line="576" w:lineRule="exact"/>
        <w:ind w:right="0" w:rightChars="0"/>
        <w:jc w:val="center"/>
        <w:textAlignment w:val="auto"/>
        <w:outlineLvl w:val="9"/>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pacing w:line="576" w:lineRule="exact"/>
        <w:ind w:right="0" w:rightChars="0"/>
        <w:jc w:val="center"/>
        <w:textAlignment w:val="auto"/>
        <w:outlineLvl w:val="9"/>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pacing w:line="576" w:lineRule="exact"/>
        <w:ind w:right="0" w:rightChars="0"/>
        <w:jc w:val="center"/>
        <w:textAlignment w:val="auto"/>
        <w:outlineLvl w:val="9"/>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pacing w:line="576" w:lineRule="exact"/>
        <w:ind w:right="0" w:rightChars="0"/>
        <w:jc w:val="center"/>
        <w:textAlignment w:val="auto"/>
        <w:outlineLvl w:val="9"/>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pacing w:line="576" w:lineRule="exact"/>
        <w:ind w:right="0" w:rightChars="0"/>
        <w:jc w:val="center"/>
        <w:textAlignment w:val="auto"/>
        <w:outlineLvl w:val="9"/>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pacing w:line="576" w:lineRule="exact"/>
        <w:ind w:right="0" w:rightChars="0"/>
        <w:jc w:val="center"/>
        <w:textAlignment w:val="auto"/>
        <w:outlineLvl w:val="9"/>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pacing w:line="576" w:lineRule="exact"/>
        <w:ind w:right="0" w:rightChars="0"/>
        <w:jc w:val="center"/>
        <w:textAlignment w:val="auto"/>
        <w:outlineLvl w:val="9"/>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pacing w:line="576" w:lineRule="exact"/>
        <w:ind w:right="0" w:rightChars="0"/>
        <w:jc w:val="center"/>
        <w:textAlignment w:val="auto"/>
        <w:outlineLvl w:val="9"/>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pacing w:line="576" w:lineRule="exact"/>
        <w:ind w:right="0" w:rightChars="0"/>
        <w:jc w:val="both"/>
        <w:textAlignment w:val="auto"/>
        <w:outlineLvl w:val="9"/>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pacing w:line="576" w:lineRule="exact"/>
        <w:ind w:right="0" w:rightChars="0"/>
        <w:jc w:val="both"/>
        <w:textAlignment w:val="auto"/>
        <w:outlineLvl w:val="9"/>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pacing w:line="576" w:lineRule="exact"/>
        <w:ind w:right="0" w:rightChars="0"/>
        <w:jc w:val="center"/>
        <w:textAlignment w:val="auto"/>
        <w:outlineLvl w:val="9"/>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keepNext w:val="0"/>
        <w:keepLines w:val="0"/>
        <w:pageBreakBefore w:val="0"/>
        <w:widowControl w:val="0"/>
        <w:kinsoku/>
        <w:wordWrap/>
        <w:overflowPunct/>
        <w:topLinePunct w:val="0"/>
        <w:bidi w:val="0"/>
        <w:spacing w:line="576" w:lineRule="exact"/>
        <w:ind w:right="0" w:rightChars="0"/>
        <w:jc w:val="center"/>
        <w:textAlignment w:val="auto"/>
        <w:outlineLvl w:val="9"/>
        <w:rPr>
          <w:rFonts w:ascii="方正小标宋简体" w:hAnsi="仿宋" w:eastAsia="方正小标宋简体"/>
          <w:sz w:val="32"/>
          <w:szCs w:val="32"/>
        </w:rPr>
      </w:pPr>
    </w:p>
    <w:p>
      <w:pPr>
        <w:keepNext w:val="0"/>
        <w:keepLines w:val="0"/>
        <w:pageBreakBefore w:val="0"/>
        <w:widowControl w:val="0"/>
        <w:kinsoku/>
        <w:wordWrap/>
        <w:overflowPunct/>
        <w:topLinePunct w:val="0"/>
        <w:bidi w:val="0"/>
        <w:spacing w:line="576" w:lineRule="exact"/>
        <w:ind w:right="0" w:rightChars="0"/>
        <w:jc w:val="center"/>
        <w:textAlignment w:val="auto"/>
        <w:outlineLvl w:val="9"/>
        <w:rPr>
          <w:rFonts w:ascii="方正小标宋简体" w:hAnsi="仿宋" w:eastAsia="方正小标宋简体"/>
          <w:sz w:val="32"/>
          <w:szCs w:val="32"/>
        </w:rPr>
      </w:pPr>
      <w:r>
        <w:rPr>
          <w:rFonts w:hint="eastAsia" w:ascii="方正小标宋简体" w:hAnsi="仿宋" w:eastAsia="方正小标宋简体"/>
          <w:sz w:val="32"/>
          <w:szCs w:val="32"/>
          <w:lang w:eastAsia="zh-CN"/>
        </w:rPr>
        <w:t>统计局</w:t>
      </w:r>
      <w:r>
        <w:rPr>
          <w:rFonts w:hint="eastAsia" w:ascii="方正小标宋简体" w:hAnsi="仿宋" w:eastAsia="方正小标宋简体"/>
          <w:sz w:val="32"/>
          <w:szCs w:val="32"/>
        </w:rPr>
        <w:t>（部门）202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年度预算明细表</w:t>
      </w:r>
    </w:p>
    <w:p>
      <w:pPr>
        <w:keepNext w:val="0"/>
        <w:keepLines w:val="0"/>
        <w:pageBreakBefore w:val="0"/>
        <w:widowControl w:val="0"/>
        <w:kinsoku/>
        <w:wordWrap/>
        <w:overflowPunct/>
        <w:topLinePunct w:val="0"/>
        <w:bidi w:val="0"/>
        <w:spacing w:line="576" w:lineRule="exact"/>
        <w:ind w:right="0" w:rightChars="0"/>
        <w:jc w:val="center"/>
        <w:textAlignment w:val="auto"/>
        <w:outlineLvl w:val="9"/>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黑体" w:hAnsi="黑体" w:eastAsia="黑体"/>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黑体" w:hAnsi="黑体" w:eastAsia="黑体"/>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黑体" w:hAnsi="黑体" w:eastAsia="黑体"/>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黑体" w:hAnsi="黑体" w:eastAsia="黑体"/>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黑体" w:hAnsi="黑体" w:eastAsia="黑体"/>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黑体" w:hAnsi="黑体" w:eastAsia="黑体"/>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黑体" w:hAnsi="黑体" w:eastAsia="黑体"/>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黑体" w:hAnsi="黑体" w:eastAsia="黑体"/>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黑体" w:hAnsi="黑体" w:eastAsia="黑体"/>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黑体" w:hAnsi="黑体" w:eastAsia="黑体"/>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黑体" w:hAnsi="黑体" w:eastAsia="黑体"/>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黑体" w:hAnsi="黑体" w:eastAsia="黑体"/>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黑体" w:hAnsi="黑体" w:eastAsia="黑体"/>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黑体" w:hAnsi="黑体" w:eastAsia="黑体"/>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黑体" w:hAnsi="黑体" w:eastAsia="黑体"/>
          <w:sz w:val="32"/>
          <w:szCs w:val="32"/>
        </w:rPr>
      </w:pPr>
    </w:p>
    <w:p>
      <w:pPr>
        <w:keepNext w:val="0"/>
        <w:keepLines w:val="0"/>
        <w:pageBreakBefore w:val="0"/>
        <w:widowControl w:val="0"/>
        <w:kinsoku/>
        <w:wordWrap/>
        <w:overflowPunct/>
        <w:topLinePunct w:val="0"/>
        <w:bidi w:val="0"/>
        <w:spacing w:line="576" w:lineRule="exact"/>
        <w:ind w:right="0" w:rightChars="0"/>
        <w:jc w:val="center"/>
        <w:textAlignment w:val="auto"/>
        <w:outlineLvl w:val="9"/>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keepNext w:val="0"/>
        <w:keepLines w:val="0"/>
        <w:pageBreakBefore w:val="0"/>
        <w:widowControl w:val="0"/>
        <w:kinsoku/>
        <w:wordWrap/>
        <w:overflowPunct/>
        <w:topLinePunct w:val="0"/>
        <w:bidi w:val="0"/>
        <w:spacing w:line="576" w:lineRule="exact"/>
        <w:ind w:right="0" w:rightChars="0"/>
        <w:jc w:val="center"/>
        <w:textAlignment w:val="auto"/>
        <w:outlineLvl w:val="9"/>
        <w:rPr>
          <w:rFonts w:ascii="黑体" w:hAnsi="黑体" w:eastAsia="黑体"/>
          <w:sz w:val="32"/>
          <w:szCs w:val="32"/>
        </w:rPr>
      </w:pPr>
      <w:r>
        <w:rPr>
          <w:rFonts w:hint="eastAsia" w:ascii="方正小标宋简体" w:hAnsi="仿宋" w:eastAsia="方正小标宋简体"/>
          <w:sz w:val="32"/>
          <w:szCs w:val="32"/>
          <w:lang w:eastAsia="zh-CN"/>
        </w:rPr>
        <w:t>统计局</w:t>
      </w:r>
      <w:r>
        <w:rPr>
          <w:rFonts w:hint="eastAsia" w:ascii="方正小标宋简体" w:hAnsi="仿宋" w:eastAsia="方正小标宋简体"/>
          <w:sz w:val="32"/>
          <w:szCs w:val="32"/>
        </w:rPr>
        <w:t>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年度部门预算数据分析</w:t>
      </w:r>
    </w:p>
    <w:p>
      <w:pPr>
        <w:keepNext w:val="0"/>
        <w:keepLines w:val="0"/>
        <w:pageBreakBefore w:val="0"/>
        <w:widowControl w:val="0"/>
        <w:kinsoku/>
        <w:wordWrap/>
        <w:overflowPunct/>
        <w:topLinePunct w:val="0"/>
        <w:bidi w:val="0"/>
        <w:spacing w:line="576" w:lineRule="exact"/>
        <w:ind w:right="0" w:rightChars="0"/>
        <w:textAlignment w:val="auto"/>
        <w:outlineLvl w:val="9"/>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一、202</w:t>
      </w:r>
      <w:r>
        <w:rPr>
          <w:rFonts w:hint="eastAsia" w:ascii="黑体" w:hAnsi="黑体" w:eastAsia="黑体"/>
          <w:sz w:val="32"/>
          <w:szCs w:val="32"/>
          <w:lang w:val="en-US" w:eastAsia="zh-CN"/>
        </w:rPr>
        <w:t>4</w:t>
      </w:r>
      <w:r>
        <w:rPr>
          <w:rFonts w:hint="eastAsia" w:ascii="黑体" w:hAnsi="黑体" w:eastAsia="黑体"/>
          <w:sz w:val="32"/>
          <w:szCs w:val="32"/>
        </w:rPr>
        <w:t>年部门收支总表的说明</w:t>
      </w:r>
    </w:p>
    <w:p>
      <w:pPr>
        <w:keepNext w:val="0"/>
        <w:keepLines w:val="0"/>
        <w:pageBreakBefore w:val="0"/>
        <w:widowControl w:val="0"/>
        <w:kinsoku/>
        <w:wordWrap/>
        <w:overflowPunct/>
        <w:topLinePunct w:val="0"/>
        <w:bidi w:val="0"/>
        <w:spacing w:line="576" w:lineRule="exact"/>
        <w:ind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年收支总预算</w:t>
      </w:r>
      <w:r>
        <w:rPr>
          <w:rFonts w:hint="eastAsia" w:ascii="仿宋" w:hAnsi="仿宋" w:eastAsia="仿宋"/>
          <w:sz w:val="32"/>
          <w:szCs w:val="32"/>
          <w:u w:val="single"/>
          <w:lang w:val="en-US" w:eastAsia="zh-CN"/>
        </w:rPr>
        <w:t>342.77</w:t>
      </w:r>
      <w:r>
        <w:rPr>
          <w:rFonts w:hint="eastAsia" w:ascii="仿宋" w:hAnsi="仿宋" w:eastAsia="仿宋"/>
          <w:sz w:val="32"/>
          <w:szCs w:val="32"/>
        </w:rPr>
        <w:t>万元。收入包括：一般公共预算拨款收入、上年结转；支出包括：一般公共服务支出、社会保障和就业支出、卫生健康支出、住房保障支出。</w:t>
      </w:r>
    </w:p>
    <w:p>
      <w:pPr>
        <w:keepNext w:val="0"/>
        <w:keepLines w:val="0"/>
        <w:pageBreakBefore w:val="0"/>
        <w:widowControl w:val="0"/>
        <w:kinsoku/>
        <w:wordWrap/>
        <w:overflowPunct/>
        <w:topLinePunct w:val="0"/>
        <w:bidi w:val="0"/>
        <w:spacing w:line="576" w:lineRule="exact"/>
        <w:ind w:right="0" w:rightChars="0"/>
        <w:textAlignment w:val="auto"/>
        <w:outlineLvl w:val="9"/>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二、202</w:t>
      </w:r>
      <w:r>
        <w:rPr>
          <w:rFonts w:hint="eastAsia" w:ascii="黑体" w:hAnsi="黑体" w:eastAsia="黑体"/>
          <w:sz w:val="32"/>
          <w:szCs w:val="32"/>
          <w:lang w:val="en-US" w:eastAsia="zh-CN"/>
        </w:rPr>
        <w:t>4</w:t>
      </w:r>
      <w:r>
        <w:rPr>
          <w:rFonts w:hint="eastAsia" w:ascii="黑体" w:hAnsi="黑体" w:eastAsia="黑体"/>
          <w:sz w:val="32"/>
          <w:szCs w:val="32"/>
        </w:rPr>
        <w:t>年度部门收入总表的说明</w:t>
      </w:r>
    </w:p>
    <w:p>
      <w:pPr>
        <w:keepNext w:val="0"/>
        <w:keepLines w:val="0"/>
        <w:pageBreakBefore w:val="0"/>
        <w:widowControl w:val="0"/>
        <w:kinsoku/>
        <w:wordWrap/>
        <w:overflowPunct/>
        <w:topLinePunct w:val="0"/>
        <w:bidi w:val="0"/>
        <w:spacing w:line="576" w:lineRule="exact"/>
        <w:ind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342.77</w:t>
      </w:r>
      <w:r>
        <w:rPr>
          <w:rFonts w:hint="eastAsia" w:ascii="仿宋" w:hAnsi="仿宋" w:eastAsia="仿宋"/>
          <w:sz w:val="32"/>
          <w:szCs w:val="32"/>
        </w:rPr>
        <w:t>万元，其中：上年结转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7.5</w:t>
      </w:r>
      <w:r>
        <w:rPr>
          <w:rFonts w:hint="eastAsia" w:ascii="仿宋" w:hAnsi="仿宋" w:eastAsia="仿宋"/>
          <w:sz w:val="32"/>
          <w:szCs w:val="32"/>
          <w:u w:val="single"/>
        </w:rPr>
        <w:t xml:space="preserve"> </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w:t>
      </w:r>
      <w:r>
        <w:rPr>
          <w:rFonts w:hint="eastAsia" w:ascii="仿宋" w:hAnsi="仿宋" w:eastAsia="仿宋"/>
          <w:sz w:val="32"/>
          <w:szCs w:val="32"/>
        </w:rPr>
        <w:t>%；一般公共预算拨款收入</w:t>
      </w:r>
      <w:r>
        <w:rPr>
          <w:rFonts w:hint="eastAsia" w:ascii="仿宋" w:hAnsi="仿宋" w:eastAsia="仿宋"/>
          <w:sz w:val="32"/>
          <w:szCs w:val="32"/>
          <w:u w:val="single"/>
          <w:lang w:val="en-US" w:eastAsia="zh-CN"/>
        </w:rPr>
        <w:t>335.27</w:t>
      </w:r>
      <w:r>
        <w:rPr>
          <w:rFonts w:hint="eastAsia" w:ascii="仿宋" w:hAnsi="仿宋" w:eastAsia="仿宋"/>
          <w:sz w:val="32"/>
          <w:szCs w:val="32"/>
        </w:rPr>
        <w:t>万元，占</w:t>
      </w:r>
      <w:r>
        <w:rPr>
          <w:rFonts w:hint="eastAsia" w:ascii="仿宋" w:hAnsi="仿宋" w:eastAsia="仿宋"/>
          <w:sz w:val="32"/>
          <w:szCs w:val="32"/>
          <w:u w:val="single"/>
          <w:lang w:val="en-US" w:eastAsia="zh-CN"/>
        </w:rPr>
        <w:t>98</w:t>
      </w:r>
      <w:r>
        <w:rPr>
          <w:rFonts w:hint="eastAsia" w:ascii="仿宋" w:hAnsi="仿宋" w:eastAsia="仿宋"/>
          <w:sz w:val="32"/>
          <w:szCs w:val="32"/>
        </w:rPr>
        <w:t xml:space="preserve"> %；</w:t>
      </w:r>
    </w:p>
    <w:p>
      <w:pPr>
        <w:keepNext w:val="0"/>
        <w:keepLines w:val="0"/>
        <w:pageBreakBefore w:val="0"/>
        <w:widowControl w:val="0"/>
        <w:kinsoku/>
        <w:wordWrap/>
        <w:overflowPunct/>
        <w:topLinePunct w:val="0"/>
        <w:bidi w:val="0"/>
        <w:spacing w:line="576" w:lineRule="exact"/>
        <w:ind w:right="0" w:rightChars="0"/>
        <w:textAlignment w:val="auto"/>
        <w:outlineLvl w:val="9"/>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三、202</w:t>
      </w:r>
      <w:r>
        <w:rPr>
          <w:rFonts w:hint="eastAsia" w:ascii="黑体" w:hAnsi="黑体" w:eastAsia="黑体"/>
          <w:sz w:val="32"/>
          <w:szCs w:val="32"/>
          <w:lang w:val="en-US" w:eastAsia="zh-CN"/>
        </w:rPr>
        <w:t>4</w:t>
      </w:r>
      <w:r>
        <w:rPr>
          <w:rFonts w:hint="eastAsia" w:ascii="黑体" w:hAnsi="黑体" w:eastAsia="黑体"/>
          <w:sz w:val="32"/>
          <w:szCs w:val="32"/>
        </w:rPr>
        <w:t>年部门支出总表的说明</w:t>
      </w:r>
    </w:p>
    <w:p>
      <w:pPr>
        <w:keepNext w:val="0"/>
        <w:keepLines w:val="0"/>
        <w:pageBreakBefore w:val="0"/>
        <w:widowControl w:val="0"/>
        <w:kinsoku/>
        <w:wordWrap/>
        <w:overflowPunct/>
        <w:topLinePunct w:val="0"/>
        <w:bidi w:val="0"/>
        <w:spacing w:line="576" w:lineRule="exact"/>
        <w:ind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年支出预算</w:t>
      </w:r>
      <w:r>
        <w:rPr>
          <w:rFonts w:hint="eastAsia" w:ascii="仿宋" w:hAnsi="仿宋" w:eastAsia="仿宋"/>
          <w:sz w:val="32"/>
          <w:szCs w:val="32"/>
          <w:u w:val="single"/>
          <w:lang w:val="en-US" w:eastAsia="zh-CN"/>
        </w:rPr>
        <w:t>342.77</w:t>
      </w:r>
      <w:r>
        <w:rPr>
          <w:rFonts w:hint="eastAsia" w:ascii="仿宋" w:hAnsi="仿宋" w:eastAsia="仿宋"/>
          <w:sz w:val="32"/>
          <w:szCs w:val="32"/>
          <w:u w:val="single"/>
        </w:rPr>
        <w:t xml:space="preserve">  </w:t>
      </w:r>
      <w:r>
        <w:rPr>
          <w:rFonts w:hint="eastAsia" w:ascii="仿宋" w:hAnsi="仿宋" w:eastAsia="仿宋"/>
          <w:sz w:val="32"/>
          <w:szCs w:val="32"/>
        </w:rPr>
        <w:t>万元，其中：基本支出</w:t>
      </w:r>
      <w:r>
        <w:rPr>
          <w:rFonts w:hint="eastAsia" w:ascii="仿宋" w:hAnsi="仿宋" w:eastAsia="仿宋"/>
          <w:sz w:val="32"/>
          <w:szCs w:val="32"/>
          <w:u w:val="single"/>
          <w:lang w:val="en-US" w:eastAsia="zh-CN"/>
        </w:rPr>
        <w:t>297.35</w:t>
      </w:r>
      <w:r>
        <w:rPr>
          <w:rFonts w:hint="eastAsia" w:ascii="仿宋" w:hAnsi="仿宋" w:eastAsia="仿宋"/>
          <w:sz w:val="32"/>
          <w:szCs w:val="32"/>
        </w:rPr>
        <w:t>万元，占</w:t>
      </w:r>
      <w:r>
        <w:rPr>
          <w:rFonts w:hint="eastAsia" w:ascii="仿宋" w:hAnsi="仿宋" w:eastAsia="仿宋"/>
          <w:sz w:val="32"/>
          <w:szCs w:val="32"/>
          <w:u w:val="single"/>
          <w:lang w:val="en-US" w:eastAsia="zh-CN"/>
        </w:rPr>
        <w:t>87</w:t>
      </w:r>
      <w:r>
        <w:rPr>
          <w:rFonts w:hint="eastAsia" w:ascii="仿宋" w:hAnsi="仿宋" w:eastAsia="仿宋"/>
          <w:sz w:val="32"/>
          <w:szCs w:val="32"/>
        </w:rPr>
        <w:t>%；项目支出</w:t>
      </w:r>
      <w:r>
        <w:rPr>
          <w:rFonts w:hint="eastAsia" w:ascii="仿宋" w:hAnsi="仿宋" w:eastAsia="仿宋"/>
          <w:sz w:val="32"/>
          <w:szCs w:val="32"/>
          <w:u w:val="single"/>
          <w:lang w:val="en-US" w:eastAsia="zh-CN"/>
        </w:rPr>
        <w:t>45.42</w:t>
      </w:r>
      <w:r>
        <w:rPr>
          <w:rFonts w:hint="eastAsia" w:ascii="仿宋" w:hAnsi="仿宋" w:eastAsia="仿宋"/>
          <w:sz w:val="32"/>
          <w:szCs w:val="32"/>
        </w:rPr>
        <w:t>万元，占</w:t>
      </w:r>
      <w:r>
        <w:rPr>
          <w:rFonts w:hint="eastAsia" w:ascii="仿宋" w:hAnsi="仿宋" w:eastAsia="仿宋"/>
          <w:sz w:val="32"/>
          <w:szCs w:val="32"/>
          <w:u w:val="single"/>
          <w:lang w:val="en-US" w:eastAsia="zh-CN"/>
        </w:rPr>
        <w:t>13</w:t>
      </w:r>
      <w:r>
        <w:rPr>
          <w:rFonts w:hint="eastAsia" w:ascii="仿宋" w:hAnsi="仿宋" w:eastAsia="仿宋"/>
          <w:sz w:val="32"/>
          <w:szCs w:val="32"/>
        </w:rPr>
        <w:t>%。</w:t>
      </w:r>
    </w:p>
    <w:p>
      <w:pPr>
        <w:keepNext w:val="0"/>
        <w:keepLines w:val="0"/>
        <w:pageBreakBefore w:val="0"/>
        <w:widowControl w:val="0"/>
        <w:kinsoku/>
        <w:wordWrap/>
        <w:overflowPunct/>
        <w:topLinePunct w:val="0"/>
        <w:bidi w:val="0"/>
        <w:spacing w:line="576" w:lineRule="exact"/>
        <w:ind w:right="0" w:rightChars="0"/>
        <w:textAlignment w:val="auto"/>
        <w:outlineLvl w:val="9"/>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四、202</w:t>
      </w:r>
      <w:r>
        <w:rPr>
          <w:rFonts w:hint="eastAsia" w:ascii="黑体" w:hAnsi="黑体" w:eastAsia="黑体"/>
          <w:sz w:val="32"/>
          <w:szCs w:val="32"/>
          <w:lang w:val="en-US" w:eastAsia="zh-CN"/>
        </w:rPr>
        <w:t>4</w:t>
      </w:r>
      <w:r>
        <w:rPr>
          <w:rFonts w:hint="eastAsia" w:ascii="黑体" w:hAnsi="黑体" w:eastAsia="黑体"/>
          <w:sz w:val="32"/>
          <w:szCs w:val="32"/>
        </w:rPr>
        <w:t>年财政拨款收支总表的说明</w:t>
      </w:r>
    </w:p>
    <w:p>
      <w:pPr>
        <w:keepNext w:val="0"/>
        <w:keepLines w:val="0"/>
        <w:pageBreakBefore w:val="0"/>
        <w:widowControl w:val="0"/>
        <w:kinsoku/>
        <w:wordWrap/>
        <w:overflowPunct/>
        <w:topLinePunct w:val="0"/>
        <w:bidi w:val="0"/>
        <w:spacing w:line="576" w:lineRule="exact"/>
        <w:ind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2023年财政拨款收支总预算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342.77</w:t>
      </w:r>
      <w:r>
        <w:rPr>
          <w:rFonts w:hint="eastAsia" w:ascii="仿宋" w:hAnsi="仿宋" w:eastAsia="仿宋"/>
          <w:sz w:val="32"/>
          <w:szCs w:val="32"/>
          <w:u w:val="single"/>
        </w:rPr>
        <w:t xml:space="preserve"> </w:t>
      </w:r>
      <w:r>
        <w:rPr>
          <w:rFonts w:hint="eastAsia" w:ascii="仿宋" w:hAnsi="仿宋" w:eastAsia="仿宋"/>
          <w:sz w:val="32"/>
          <w:szCs w:val="32"/>
        </w:rPr>
        <w:t>万元。收入为一般公共预算拨款，包括：一般公共预算当年拨款收入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335.27</w:t>
      </w:r>
      <w:r>
        <w:rPr>
          <w:rFonts w:hint="eastAsia" w:ascii="仿宋" w:hAnsi="仿宋" w:eastAsia="仿宋"/>
          <w:sz w:val="32"/>
          <w:szCs w:val="32"/>
          <w:u w:val="single"/>
        </w:rPr>
        <w:t xml:space="preserve">  </w:t>
      </w:r>
      <w:r>
        <w:rPr>
          <w:rFonts w:hint="eastAsia" w:ascii="仿宋" w:hAnsi="仿宋" w:eastAsia="仿宋"/>
          <w:sz w:val="32"/>
          <w:szCs w:val="32"/>
        </w:rPr>
        <w:t>万元、上年结转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7.5</w:t>
      </w:r>
      <w:r>
        <w:rPr>
          <w:rFonts w:hint="eastAsia" w:ascii="仿宋" w:hAnsi="仿宋" w:eastAsia="仿宋"/>
          <w:sz w:val="32"/>
          <w:szCs w:val="32"/>
        </w:rPr>
        <w:t>万元；支出包括：一般公共服务支出</w:t>
      </w:r>
      <w:r>
        <w:rPr>
          <w:rFonts w:hint="eastAsia" w:ascii="仿宋" w:hAnsi="仿宋" w:eastAsia="仿宋"/>
          <w:sz w:val="32"/>
          <w:szCs w:val="32"/>
          <w:u w:val="single"/>
          <w:lang w:val="en-US" w:eastAsia="zh-CN"/>
        </w:rPr>
        <w:t>271.53</w:t>
      </w:r>
      <w:r>
        <w:rPr>
          <w:rFonts w:hint="eastAsia" w:ascii="仿宋" w:hAnsi="仿宋" w:eastAsia="仿宋"/>
          <w:sz w:val="32"/>
          <w:szCs w:val="32"/>
          <w:u w:val="single"/>
        </w:rPr>
        <w:t xml:space="preserve"> </w:t>
      </w:r>
      <w:r>
        <w:rPr>
          <w:rFonts w:hint="eastAsia" w:ascii="仿宋" w:hAnsi="仿宋" w:eastAsia="仿宋"/>
          <w:sz w:val="32"/>
          <w:szCs w:val="32"/>
        </w:rPr>
        <w:t>万元、社会保障和就业支出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30.78</w:t>
      </w:r>
      <w:r>
        <w:rPr>
          <w:rFonts w:hint="eastAsia" w:ascii="仿宋" w:hAnsi="仿宋" w:eastAsia="仿宋"/>
          <w:sz w:val="32"/>
          <w:szCs w:val="32"/>
        </w:rPr>
        <w:t>万元、卫生健康支出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16.7</w:t>
      </w:r>
      <w:r>
        <w:rPr>
          <w:rFonts w:hint="eastAsia" w:ascii="仿宋" w:hAnsi="仿宋" w:eastAsia="仿宋"/>
          <w:sz w:val="32"/>
          <w:szCs w:val="32"/>
        </w:rPr>
        <w:t>万元、住房保障支出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23.76</w:t>
      </w:r>
      <w:r>
        <w:rPr>
          <w:rFonts w:hint="eastAsia" w:ascii="仿宋" w:hAnsi="仿宋" w:eastAsia="仿宋"/>
          <w:sz w:val="32"/>
          <w:szCs w:val="32"/>
          <w:u w:val="single"/>
        </w:rPr>
        <w:t xml:space="preserve">  </w:t>
      </w:r>
      <w:r>
        <w:rPr>
          <w:rFonts w:hint="eastAsia" w:ascii="仿宋" w:hAnsi="仿宋" w:eastAsia="仿宋"/>
          <w:sz w:val="32"/>
          <w:szCs w:val="32"/>
        </w:rPr>
        <w:t>万元。</w:t>
      </w:r>
    </w:p>
    <w:p>
      <w:pPr>
        <w:keepNext w:val="0"/>
        <w:keepLines w:val="0"/>
        <w:pageBreakBefore w:val="0"/>
        <w:widowControl w:val="0"/>
        <w:kinsoku/>
        <w:wordWrap/>
        <w:overflowPunct/>
        <w:topLinePunct w:val="0"/>
        <w:bidi w:val="0"/>
        <w:spacing w:line="576" w:lineRule="exact"/>
        <w:ind w:right="0" w:rightChars="0"/>
        <w:textAlignment w:val="auto"/>
        <w:outlineLvl w:val="9"/>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五、202</w:t>
      </w:r>
      <w:r>
        <w:rPr>
          <w:rFonts w:hint="eastAsia" w:ascii="黑体" w:hAnsi="黑体" w:eastAsia="黑体"/>
          <w:sz w:val="32"/>
          <w:szCs w:val="32"/>
          <w:lang w:val="en-US" w:eastAsia="zh-CN"/>
        </w:rPr>
        <w:t>4</w:t>
      </w:r>
      <w:r>
        <w:rPr>
          <w:rFonts w:hint="eastAsia" w:ascii="黑体" w:hAnsi="黑体" w:eastAsia="黑体"/>
          <w:sz w:val="32"/>
          <w:szCs w:val="32"/>
        </w:rPr>
        <w:t>年一般公共预算支出表的说明</w:t>
      </w:r>
    </w:p>
    <w:p>
      <w:pPr>
        <w:keepNext w:val="0"/>
        <w:keepLines w:val="0"/>
        <w:pageBreakBefore w:val="0"/>
        <w:widowControl w:val="0"/>
        <w:kinsoku/>
        <w:wordWrap/>
        <w:overflowPunct/>
        <w:topLinePunct w:val="0"/>
        <w:bidi w:val="0"/>
        <w:spacing w:line="576" w:lineRule="exact"/>
        <w:ind w:right="0" w:rightChars="0"/>
        <w:textAlignment w:val="auto"/>
        <w:outlineLvl w:val="9"/>
        <w:rPr>
          <w:rFonts w:ascii="楷体" w:hAnsi="楷体" w:eastAsia="楷体"/>
          <w:sz w:val="32"/>
          <w:szCs w:val="32"/>
        </w:rPr>
      </w:pPr>
      <w:r>
        <w:rPr>
          <w:rFonts w:hint="eastAsia" w:ascii="楷体" w:hAnsi="楷体" w:eastAsia="楷体"/>
          <w:sz w:val="32"/>
          <w:szCs w:val="32"/>
          <w:lang w:val="en-US" w:eastAsia="zh-CN"/>
        </w:rPr>
        <w:t xml:space="preserve">    </w:t>
      </w:r>
      <w:r>
        <w:rPr>
          <w:rFonts w:hint="eastAsia" w:ascii="楷体" w:hAnsi="楷体" w:eastAsia="楷体"/>
          <w:sz w:val="32"/>
          <w:szCs w:val="32"/>
        </w:rPr>
        <w:t>（一）一般公共预算当年拨款规模变化情况。</w:t>
      </w:r>
    </w:p>
    <w:p>
      <w:pPr>
        <w:keepNext w:val="0"/>
        <w:keepLines w:val="0"/>
        <w:pageBreakBefore w:val="0"/>
        <w:widowControl w:val="0"/>
        <w:kinsoku/>
        <w:wordWrap/>
        <w:overflowPunct/>
        <w:topLinePunct w:val="0"/>
        <w:bidi w:val="0"/>
        <w:spacing w:line="576" w:lineRule="exact"/>
        <w:ind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342.77</w:t>
      </w:r>
      <w:r>
        <w:rPr>
          <w:rFonts w:hint="eastAsia" w:ascii="仿宋" w:hAnsi="仿宋" w:eastAsia="仿宋"/>
          <w:sz w:val="32"/>
          <w:szCs w:val="32"/>
          <w:u w:val="single"/>
        </w:rPr>
        <w:t xml:space="preserve"> </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 xml:space="preserve"> 年执行数</w:t>
      </w:r>
      <w:r>
        <w:rPr>
          <w:rFonts w:hint="eastAsia" w:ascii="仿宋" w:hAnsi="仿宋" w:eastAsia="仿宋"/>
          <w:sz w:val="32"/>
          <w:szCs w:val="32"/>
          <w:lang w:eastAsia="zh-CN"/>
        </w:rPr>
        <w:t>增加</w:t>
      </w:r>
      <w:r>
        <w:rPr>
          <w:rFonts w:hint="eastAsia" w:ascii="仿宋" w:hAnsi="仿宋" w:eastAsia="仿宋"/>
          <w:sz w:val="32"/>
          <w:szCs w:val="32"/>
          <w:lang w:val="en-US" w:eastAsia="zh-CN"/>
        </w:rPr>
        <w:t>11.15</w:t>
      </w:r>
      <w:r>
        <w:rPr>
          <w:rFonts w:hint="eastAsia" w:ascii="仿宋" w:hAnsi="仿宋" w:eastAsia="仿宋"/>
          <w:sz w:val="32"/>
          <w:szCs w:val="32"/>
        </w:rPr>
        <w:t>万元，主要原因：</w:t>
      </w:r>
      <w:r>
        <w:rPr>
          <w:rFonts w:hint="eastAsia" w:ascii="仿宋" w:hAnsi="仿宋" w:eastAsia="仿宋"/>
          <w:sz w:val="32"/>
          <w:szCs w:val="32"/>
          <w:lang w:eastAsia="zh-CN"/>
        </w:rPr>
        <w:t>项目增加</w:t>
      </w:r>
      <w:r>
        <w:rPr>
          <w:rFonts w:hint="eastAsia" w:ascii="仿宋" w:hAnsi="仿宋" w:eastAsia="仿宋"/>
          <w:sz w:val="32"/>
          <w:szCs w:val="32"/>
        </w:rPr>
        <w:t>。</w:t>
      </w:r>
    </w:p>
    <w:p>
      <w:pPr>
        <w:keepNext w:val="0"/>
        <w:keepLines w:val="0"/>
        <w:pageBreakBefore w:val="0"/>
        <w:widowControl w:val="0"/>
        <w:kinsoku/>
        <w:wordWrap/>
        <w:overflowPunct/>
        <w:topLinePunct w:val="0"/>
        <w:bidi w:val="0"/>
        <w:spacing w:line="576" w:lineRule="exact"/>
        <w:ind w:right="0" w:rightChars="0"/>
        <w:textAlignment w:val="auto"/>
        <w:outlineLvl w:val="9"/>
        <w:rPr>
          <w:rFonts w:ascii="楷体" w:hAnsi="楷体" w:eastAsia="楷体"/>
          <w:sz w:val="32"/>
          <w:szCs w:val="32"/>
        </w:rPr>
      </w:pPr>
      <w:r>
        <w:rPr>
          <w:rFonts w:hint="eastAsia" w:ascii="楷体" w:hAnsi="楷体" w:eastAsia="楷体"/>
          <w:sz w:val="32"/>
          <w:szCs w:val="32"/>
          <w:lang w:val="en-US" w:eastAsia="zh-CN"/>
        </w:rPr>
        <w:t xml:space="preserve">    </w:t>
      </w:r>
      <w:r>
        <w:rPr>
          <w:rFonts w:hint="eastAsia" w:ascii="楷体" w:hAnsi="楷体" w:eastAsia="楷体"/>
          <w:sz w:val="32"/>
          <w:szCs w:val="32"/>
        </w:rPr>
        <w:t>（二）一般公共预算当年拨款结构情况。</w:t>
      </w:r>
    </w:p>
    <w:p>
      <w:pPr>
        <w:keepNext w:val="0"/>
        <w:keepLines w:val="0"/>
        <w:pageBreakBefore w:val="0"/>
        <w:widowControl w:val="0"/>
        <w:kinsoku/>
        <w:wordWrap/>
        <w:overflowPunct/>
        <w:topLinePunct w:val="0"/>
        <w:bidi w:val="0"/>
        <w:spacing w:line="576" w:lineRule="exact"/>
        <w:ind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一般公共服务支出</w:t>
      </w:r>
      <w:r>
        <w:rPr>
          <w:rFonts w:hint="eastAsia" w:ascii="仿宋" w:hAnsi="仿宋" w:eastAsia="仿宋"/>
          <w:sz w:val="32"/>
          <w:szCs w:val="32"/>
          <w:u w:val="single"/>
          <w:lang w:val="en-US" w:eastAsia="zh-CN"/>
        </w:rPr>
        <w:t>271.53</w:t>
      </w:r>
      <w:r>
        <w:rPr>
          <w:rFonts w:hint="eastAsia" w:ascii="仿宋" w:hAnsi="仿宋" w:eastAsia="仿宋"/>
          <w:sz w:val="32"/>
          <w:szCs w:val="32"/>
        </w:rPr>
        <w:t>万元，占</w:t>
      </w:r>
      <w:r>
        <w:rPr>
          <w:rFonts w:hint="eastAsia" w:ascii="仿宋" w:hAnsi="仿宋" w:eastAsia="仿宋"/>
          <w:sz w:val="32"/>
          <w:szCs w:val="32"/>
          <w:u w:val="single"/>
          <w:lang w:val="en-US" w:eastAsia="zh-CN"/>
        </w:rPr>
        <w:t xml:space="preserve">79.2% </w:t>
      </w:r>
      <w:r>
        <w:rPr>
          <w:rFonts w:hint="eastAsia" w:ascii="仿宋" w:hAnsi="仿宋" w:eastAsia="仿宋"/>
          <w:sz w:val="32"/>
          <w:szCs w:val="32"/>
        </w:rPr>
        <w:t>；社会保障和就业支出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30.78</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9%.  </w:t>
      </w:r>
      <w:r>
        <w:rPr>
          <w:rFonts w:hint="eastAsia" w:ascii="仿宋" w:hAnsi="仿宋" w:eastAsia="仿宋"/>
          <w:sz w:val="32"/>
          <w:szCs w:val="32"/>
          <w:lang w:val="en-US" w:eastAsia="zh-CN"/>
        </w:rPr>
        <w:t>;</w:t>
      </w:r>
      <w:r>
        <w:rPr>
          <w:rFonts w:hint="eastAsia" w:ascii="仿宋" w:hAnsi="仿宋" w:eastAsia="仿宋"/>
          <w:sz w:val="32"/>
          <w:szCs w:val="32"/>
        </w:rPr>
        <w:t>卫生健康支出</w:t>
      </w:r>
      <w:r>
        <w:rPr>
          <w:rFonts w:hint="eastAsia" w:ascii="仿宋" w:hAnsi="仿宋" w:eastAsia="仿宋"/>
          <w:sz w:val="32"/>
          <w:szCs w:val="32"/>
          <w:u w:val="single"/>
          <w:lang w:val="en-US" w:eastAsia="zh-CN"/>
        </w:rPr>
        <w:t>16.7</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lang w:val="en-US" w:eastAsia="zh-CN"/>
        </w:rPr>
        <w:t>4.8%</w:t>
      </w:r>
      <w:r>
        <w:rPr>
          <w:rFonts w:hint="eastAsia" w:ascii="仿宋" w:hAnsi="仿宋" w:eastAsia="仿宋"/>
          <w:sz w:val="32"/>
          <w:szCs w:val="32"/>
          <w:lang w:val="en-US" w:eastAsia="zh-CN"/>
        </w:rPr>
        <w:t>;</w:t>
      </w:r>
      <w:r>
        <w:rPr>
          <w:rFonts w:hint="eastAsia" w:ascii="仿宋" w:hAnsi="仿宋" w:eastAsia="仿宋"/>
          <w:sz w:val="32"/>
          <w:szCs w:val="32"/>
        </w:rPr>
        <w:t>住房保障支出</w:t>
      </w:r>
      <w:r>
        <w:rPr>
          <w:rFonts w:hint="eastAsia" w:ascii="仿宋" w:hAnsi="仿宋" w:eastAsia="仿宋"/>
          <w:sz w:val="32"/>
          <w:szCs w:val="32"/>
          <w:u w:val="single"/>
          <w:lang w:val="en-US" w:eastAsia="zh-CN"/>
        </w:rPr>
        <w:t>23.76</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lang w:val="en-US" w:eastAsia="zh-CN"/>
        </w:rPr>
        <w:t>7%</w:t>
      </w:r>
      <w:r>
        <w:rPr>
          <w:rFonts w:hint="eastAsia" w:ascii="仿宋" w:hAnsi="仿宋" w:eastAsia="仿宋"/>
          <w:sz w:val="32"/>
          <w:szCs w:val="32"/>
        </w:rPr>
        <w:t>。</w:t>
      </w:r>
    </w:p>
    <w:p>
      <w:pPr>
        <w:keepNext w:val="0"/>
        <w:keepLines w:val="0"/>
        <w:pageBreakBefore w:val="0"/>
        <w:widowControl w:val="0"/>
        <w:kinsoku/>
        <w:wordWrap/>
        <w:overflowPunct/>
        <w:topLinePunct w:val="0"/>
        <w:bidi w:val="0"/>
        <w:spacing w:line="576" w:lineRule="exact"/>
        <w:ind w:right="0" w:rightChars="0"/>
        <w:textAlignment w:val="auto"/>
        <w:outlineLvl w:val="9"/>
        <w:rPr>
          <w:rFonts w:ascii="楷体" w:hAnsi="楷体" w:eastAsia="楷体"/>
          <w:sz w:val="32"/>
          <w:szCs w:val="32"/>
        </w:rPr>
      </w:pPr>
      <w:r>
        <w:rPr>
          <w:rFonts w:hint="eastAsia" w:ascii="楷体" w:hAnsi="楷体" w:eastAsia="楷体"/>
          <w:sz w:val="32"/>
          <w:szCs w:val="32"/>
          <w:lang w:val="en-US" w:eastAsia="zh-CN"/>
        </w:rPr>
        <w:t xml:space="preserve">    </w:t>
      </w:r>
      <w:r>
        <w:rPr>
          <w:rFonts w:hint="eastAsia" w:ascii="楷体" w:hAnsi="楷体" w:eastAsia="楷体"/>
          <w:sz w:val="32"/>
          <w:szCs w:val="32"/>
        </w:rPr>
        <w:t>（三）一般公共预算当年拨款具体使用情况。</w:t>
      </w:r>
    </w:p>
    <w:p>
      <w:pPr>
        <w:keepNext w:val="0"/>
        <w:keepLines w:val="0"/>
        <w:pageBreakBefore w:val="0"/>
        <w:widowControl w:val="0"/>
        <w:kinsoku/>
        <w:wordWrap/>
        <w:overflowPunct/>
        <w:topLinePunct w:val="0"/>
        <w:bidi w:val="0"/>
        <w:spacing w:line="576" w:lineRule="exact"/>
        <w:ind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keepNext w:val="0"/>
        <w:keepLines w:val="0"/>
        <w:pageBreakBefore w:val="0"/>
        <w:widowControl w:val="0"/>
        <w:kinsoku/>
        <w:wordWrap/>
        <w:overflowPunct/>
        <w:topLinePunct w:val="0"/>
        <w:bidi w:val="0"/>
        <w:spacing w:line="576" w:lineRule="exact"/>
        <w:ind w:right="0" w:rightChars="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1.一般公共服务支出（类）财政事务（款）行政运行（项）2024年预算数为297.35万元，比2023年执行数增加了7.63  万元，人员、工资变动原因。</w:t>
      </w:r>
    </w:p>
    <w:p>
      <w:pPr>
        <w:keepNext w:val="0"/>
        <w:keepLines w:val="0"/>
        <w:pageBreakBefore w:val="0"/>
        <w:widowControl w:val="0"/>
        <w:numPr>
          <w:ilvl w:val="0"/>
          <w:numId w:val="0"/>
        </w:numPr>
        <w:kinsoku/>
        <w:wordWrap/>
        <w:overflowPunct/>
        <w:topLinePunct w:val="0"/>
        <w:bidi w:val="0"/>
        <w:spacing w:line="576" w:lineRule="exact"/>
        <w:ind w:right="0" w:rightChars="0"/>
        <w:textAlignment w:val="auto"/>
        <w:outlineLvl w:val="9"/>
        <w:rPr>
          <w:rFonts w:ascii="楷体" w:hAnsi="楷体" w:eastAsia="楷体"/>
          <w:color w:val="0000FF"/>
          <w:sz w:val="32"/>
          <w:szCs w:val="32"/>
        </w:rPr>
      </w:pPr>
      <w:r>
        <w:rPr>
          <w:rFonts w:hint="eastAsia" w:ascii="仿宋" w:hAnsi="仿宋" w:eastAsia="仿宋"/>
          <w:sz w:val="32"/>
          <w:szCs w:val="32"/>
          <w:lang w:val="en-US" w:eastAsia="zh-CN"/>
        </w:rPr>
        <w:t xml:space="preserve">    2.一般公共服务支出（类）财政事务（款）一般行政管理事务（项）2024年预算数为45.42万元，比2023年执行数增加3.52万元，增加8.4%,主要是项目支出增加。</w:t>
      </w:r>
    </w:p>
    <w:p>
      <w:pPr>
        <w:keepNext w:val="0"/>
        <w:keepLines w:val="0"/>
        <w:pageBreakBefore w:val="0"/>
        <w:widowControl w:val="0"/>
        <w:kinsoku/>
        <w:wordWrap/>
        <w:overflowPunct/>
        <w:topLinePunct w:val="0"/>
        <w:bidi w:val="0"/>
        <w:spacing w:line="576" w:lineRule="exact"/>
        <w:ind w:right="0" w:rightChars="0" w:firstLine="640" w:firstLineChars="200"/>
        <w:textAlignment w:val="auto"/>
        <w:outlineLvl w:val="9"/>
        <w:rPr>
          <w:rFonts w:ascii="黑体" w:hAnsi="黑体" w:eastAsia="黑体"/>
          <w:sz w:val="32"/>
          <w:szCs w:val="32"/>
        </w:rPr>
      </w:pPr>
      <w:r>
        <w:rPr>
          <w:rFonts w:hint="eastAsia" w:ascii="黑体" w:hAnsi="黑体" w:eastAsia="黑体"/>
          <w:sz w:val="32"/>
          <w:szCs w:val="32"/>
        </w:rPr>
        <w:t>六、202</w:t>
      </w:r>
      <w:r>
        <w:rPr>
          <w:rFonts w:hint="eastAsia" w:ascii="黑体" w:hAnsi="黑体" w:eastAsia="黑体"/>
          <w:sz w:val="32"/>
          <w:szCs w:val="32"/>
          <w:lang w:val="en-US" w:eastAsia="zh-CN"/>
        </w:rPr>
        <w:t>4</w:t>
      </w:r>
      <w:r>
        <w:rPr>
          <w:rFonts w:hint="eastAsia" w:ascii="黑体" w:hAnsi="黑体" w:eastAsia="黑体"/>
          <w:sz w:val="32"/>
          <w:szCs w:val="32"/>
        </w:rPr>
        <w:t>年一般公共预算基本支出表的说明</w:t>
      </w:r>
    </w:p>
    <w:p>
      <w:pPr>
        <w:keepNext w:val="0"/>
        <w:keepLines w:val="0"/>
        <w:pageBreakBefore w:val="0"/>
        <w:widowControl w:val="0"/>
        <w:kinsoku/>
        <w:wordWrap/>
        <w:overflowPunct/>
        <w:topLinePunct w:val="0"/>
        <w:bidi w:val="0"/>
        <w:spacing w:line="576" w:lineRule="exact"/>
        <w:ind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年一般公共预算基本支出</w:t>
      </w:r>
      <w:r>
        <w:rPr>
          <w:rFonts w:hint="eastAsia" w:ascii="仿宋" w:hAnsi="仿宋" w:eastAsia="仿宋"/>
          <w:sz w:val="32"/>
          <w:szCs w:val="32"/>
          <w:u w:val="single"/>
          <w:lang w:val="en-US" w:eastAsia="zh-CN"/>
        </w:rPr>
        <w:t>297.35</w:t>
      </w:r>
      <w:r>
        <w:rPr>
          <w:rFonts w:hint="eastAsia" w:ascii="仿宋" w:hAnsi="仿宋" w:eastAsia="仿宋"/>
          <w:sz w:val="32"/>
          <w:szCs w:val="32"/>
        </w:rPr>
        <w:t>万元，其中：</w:t>
      </w: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280.41</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其他对个人和家庭的补助等</w:t>
      </w:r>
      <w:r>
        <w:rPr>
          <w:rFonts w:hint="eastAsia" w:ascii="仿宋" w:hAnsi="仿宋" w:eastAsia="仿宋"/>
          <w:sz w:val="32"/>
          <w:szCs w:val="32"/>
        </w:rPr>
        <w:t>。</w:t>
      </w:r>
    </w:p>
    <w:p>
      <w:pPr>
        <w:keepNext w:val="0"/>
        <w:keepLines w:val="0"/>
        <w:pageBreakBefore w:val="0"/>
        <w:widowControl w:val="0"/>
        <w:kinsoku/>
        <w:wordWrap/>
        <w:overflowPunct/>
        <w:topLinePunct w:val="0"/>
        <w:bidi w:val="0"/>
        <w:spacing w:line="576" w:lineRule="exact"/>
        <w:ind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16.94</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p>
    <w:p>
      <w:pPr>
        <w:keepNext w:val="0"/>
        <w:keepLines w:val="0"/>
        <w:pageBreakBefore w:val="0"/>
        <w:widowControl w:val="0"/>
        <w:kinsoku/>
        <w:wordWrap/>
        <w:overflowPunct/>
        <w:topLinePunct w:val="0"/>
        <w:bidi w:val="0"/>
        <w:spacing w:line="576" w:lineRule="exact"/>
        <w:ind w:right="0" w:rightChars="0"/>
        <w:textAlignment w:val="auto"/>
        <w:outlineLvl w:val="9"/>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七、202</w:t>
      </w:r>
      <w:r>
        <w:rPr>
          <w:rFonts w:hint="eastAsia" w:ascii="黑体" w:hAnsi="黑体" w:eastAsia="黑体"/>
          <w:sz w:val="32"/>
          <w:szCs w:val="32"/>
          <w:lang w:val="en-US" w:eastAsia="zh-CN"/>
        </w:rPr>
        <w:t>4</w:t>
      </w:r>
      <w:r>
        <w:rPr>
          <w:rFonts w:hint="eastAsia" w:ascii="黑体" w:hAnsi="黑体" w:eastAsia="黑体"/>
          <w:sz w:val="32"/>
          <w:szCs w:val="32"/>
        </w:rPr>
        <w:t>年度一般公共预算“三公”经费预算情况说明</w:t>
      </w:r>
    </w:p>
    <w:p>
      <w:pPr>
        <w:keepNext w:val="0"/>
        <w:keepLines w:val="0"/>
        <w:pageBreakBefore w:val="0"/>
        <w:widowControl w:val="0"/>
        <w:kinsoku/>
        <w:wordWrap/>
        <w:overflowPunct/>
        <w:topLinePunct w:val="0"/>
        <w:bidi w:val="0"/>
        <w:spacing w:line="576" w:lineRule="exact"/>
        <w:ind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keepNext w:val="0"/>
        <w:keepLines w:val="0"/>
        <w:pageBreakBefore w:val="0"/>
        <w:widowControl w:val="0"/>
        <w:kinsoku/>
        <w:wordWrap/>
        <w:overflowPunct/>
        <w:topLinePunct w:val="0"/>
        <w:bidi w:val="0"/>
        <w:spacing w:line="576" w:lineRule="exact"/>
        <w:ind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2024年“三公”经费预算数为</w:t>
      </w:r>
      <w:r>
        <w:rPr>
          <w:rFonts w:hint="eastAsia" w:ascii="仿宋" w:hAnsi="仿宋" w:eastAsia="仿宋"/>
          <w:sz w:val="32"/>
          <w:szCs w:val="32"/>
          <w:lang w:val="en-US" w:eastAsia="zh-CN"/>
        </w:rPr>
        <w:t>0</w:t>
      </w:r>
      <w:r>
        <w:rPr>
          <w:rFonts w:hint="eastAsia" w:ascii="仿宋" w:hAnsi="仿宋" w:eastAsia="仿宋"/>
          <w:sz w:val="32"/>
          <w:szCs w:val="32"/>
        </w:rPr>
        <w:t>万元，其中：公务用车运维费</w:t>
      </w:r>
      <w:r>
        <w:rPr>
          <w:rFonts w:hint="eastAsia" w:ascii="仿宋" w:hAnsi="仿宋" w:eastAsia="仿宋"/>
          <w:sz w:val="32"/>
          <w:szCs w:val="32"/>
          <w:lang w:val="en-US" w:eastAsia="zh-CN"/>
        </w:rPr>
        <w:t>1.2</w:t>
      </w:r>
      <w:r>
        <w:rPr>
          <w:rFonts w:hint="eastAsia" w:ascii="仿宋" w:hAnsi="仿宋" w:eastAsia="仿宋"/>
          <w:sz w:val="32"/>
          <w:szCs w:val="32"/>
        </w:rPr>
        <w:t>万元，公务接待费0万元。2024年“三公”经费预算比2023年</w:t>
      </w:r>
      <w:r>
        <w:rPr>
          <w:rFonts w:hint="eastAsia" w:ascii="仿宋" w:hAnsi="仿宋" w:eastAsia="仿宋"/>
          <w:sz w:val="32"/>
          <w:szCs w:val="32"/>
          <w:lang w:eastAsia="zh-CN"/>
        </w:rPr>
        <w:t>减少</w:t>
      </w:r>
      <w:r>
        <w:rPr>
          <w:rFonts w:hint="eastAsia" w:ascii="仿宋" w:hAnsi="仿宋" w:eastAsia="仿宋"/>
          <w:sz w:val="32"/>
          <w:szCs w:val="32"/>
          <w:lang w:val="en-US" w:eastAsia="zh-CN"/>
        </w:rPr>
        <w:t>1.2万元，主要是按照逐年递减原则</w:t>
      </w:r>
      <w:r>
        <w:rPr>
          <w:rFonts w:hint="eastAsia" w:ascii="仿宋" w:hAnsi="仿宋" w:eastAsia="仿宋"/>
          <w:sz w:val="32"/>
          <w:szCs w:val="32"/>
          <w:lang w:eastAsia="zh-CN"/>
        </w:rPr>
        <w:t>。</w:t>
      </w:r>
      <w:r>
        <w:rPr>
          <w:rFonts w:hint="eastAsia" w:ascii="仿宋" w:hAnsi="仿宋" w:eastAsia="仿宋"/>
          <w:sz w:val="32"/>
          <w:szCs w:val="32"/>
        </w:rPr>
        <w:t>因公出国（境）0团组、0人，公务用车购置0辆、保有0量，国内公务接待0批次、0人。</w:t>
      </w:r>
    </w:p>
    <w:p>
      <w:pPr>
        <w:keepNext w:val="0"/>
        <w:keepLines w:val="0"/>
        <w:pageBreakBefore w:val="0"/>
        <w:widowControl w:val="0"/>
        <w:kinsoku/>
        <w:wordWrap/>
        <w:overflowPunct/>
        <w:topLinePunct w:val="0"/>
        <w:bidi w:val="0"/>
        <w:spacing w:line="576" w:lineRule="exact"/>
        <w:ind w:right="0" w:rightChars="0"/>
        <w:textAlignment w:val="auto"/>
        <w:outlineLvl w:val="9"/>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八、202</w:t>
      </w:r>
      <w:r>
        <w:rPr>
          <w:rFonts w:hint="eastAsia" w:ascii="黑体" w:hAnsi="黑体" w:eastAsia="黑体"/>
          <w:sz w:val="32"/>
          <w:szCs w:val="32"/>
          <w:lang w:val="en-US" w:eastAsia="zh-CN"/>
        </w:rPr>
        <w:t>4</w:t>
      </w:r>
      <w:r>
        <w:rPr>
          <w:rFonts w:hint="eastAsia" w:ascii="黑体" w:hAnsi="黑体" w:eastAsia="黑体"/>
          <w:sz w:val="32"/>
          <w:szCs w:val="32"/>
        </w:rPr>
        <w:t>年度政府性基金预算支出情况说明</w:t>
      </w:r>
    </w:p>
    <w:p>
      <w:pPr>
        <w:keepNext w:val="0"/>
        <w:keepLines w:val="0"/>
        <w:pageBreakBefore w:val="0"/>
        <w:widowControl w:val="0"/>
        <w:kinsoku/>
        <w:wordWrap/>
        <w:overflowPunct/>
        <w:topLinePunct w:val="0"/>
        <w:bidi w:val="0"/>
        <w:spacing w:line="576" w:lineRule="exact"/>
        <w:ind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年政府性基金预算当年拨款</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年执行数减少</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万元，主要原因：我部门202</w:t>
      </w:r>
      <w:r>
        <w:rPr>
          <w:rFonts w:hint="eastAsia" w:ascii="仿宋" w:hAnsi="仿宋" w:eastAsia="仿宋"/>
          <w:sz w:val="32"/>
          <w:szCs w:val="32"/>
          <w:lang w:val="en-US" w:eastAsia="zh-CN"/>
        </w:rPr>
        <w:t>4</w:t>
      </w:r>
      <w:r>
        <w:rPr>
          <w:rFonts w:hint="eastAsia" w:ascii="仿宋" w:hAnsi="仿宋" w:eastAsia="仿宋"/>
          <w:sz w:val="32"/>
          <w:szCs w:val="32"/>
        </w:rPr>
        <w:t>年度没有使用政府性基金安排的支出.</w:t>
      </w:r>
    </w:p>
    <w:p>
      <w:pPr>
        <w:keepNext w:val="0"/>
        <w:keepLines w:val="0"/>
        <w:pageBreakBefore w:val="0"/>
        <w:widowControl w:val="0"/>
        <w:kinsoku/>
        <w:wordWrap/>
        <w:overflowPunct/>
        <w:topLinePunct w:val="0"/>
        <w:bidi w:val="0"/>
        <w:spacing w:line="576" w:lineRule="exact"/>
        <w:ind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（没有数据的表格应当列出空表并说明“我部门202</w:t>
      </w:r>
      <w:r>
        <w:rPr>
          <w:rFonts w:hint="eastAsia" w:ascii="仿宋" w:hAnsi="仿宋" w:eastAsia="仿宋"/>
          <w:sz w:val="32"/>
          <w:szCs w:val="32"/>
          <w:lang w:val="en-US" w:eastAsia="zh-CN"/>
        </w:rPr>
        <w:t>4</w:t>
      </w:r>
      <w:r>
        <w:rPr>
          <w:rFonts w:hint="eastAsia" w:ascii="仿宋" w:hAnsi="仿宋" w:eastAsia="仿宋"/>
          <w:sz w:val="32"/>
          <w:szCs w:val="32"/>
        </w:rPr>
        <w:t>年度没有使用政府性基金安排的支出</w:t>
      </w:r>
      <w:r>
        <w:rPr>
          <w:rFonts w:ascii="仿宋" w:hAnsi="仿宋" w:eastAsia="仿宋"/>
          <w:sz w:val="32"/>
          <w:szCs w:val="32"/>
        </w:rPr>
        <w:t>”</w:t>
      </w:r>
      <w:r>
        <w:rPr>
          <w:rFonts w:hint="eastAsia" w:ascii="仿宋" w:hAnsi="仿宋" w:eastAsia="仿宋"/>
          <w:sz w:val="32"/>
          <w:szCs w:val="32"/>
        </w:rPr>
        <w:t>）。</w:t>
      </w:r>
    </w:p>
    <w:p>
      <w:pPr>
        <w:keepNext w:val="0"/>
        <w:keepLines w:val="0"/>
        <w:pageBreakBefore w:val="0"/>
        <w:widowControl w:val="0"/>
        <w:kinsoku/>
        <w:wordWrap/>
        <w:overflowPunct/>
        <w:topLinePunct w:val="0"/>
        <w:bidi w:val="0"/>
        <w:spacing w:line="576" w:lineRule="exact"/>
        <w:ind w:right="0" w:rightChars="0"/>
        <w:textAlignment w:val="auto"/>
        <w:outlineLvl w:val="9"/>
        <w:rPr>
          <w:rFonts w:ascii="黑体" w:hAnsi="黑体" w:eastAsia="黑体"/>
          <w:sz w:val="32"/>
          <w:szCs w:val="32"/>
        </w:rPr>
      </w:pPr>
      <w:r>
        <w:rPr>
          <w:rFonts w:hint="eastAsia" w:ascii="黑体" w:hAnsi="黑体" w:eastAsia="黑体"/>
          <w:sz w:val="32"/>
          <w:szCs w:val="32"/>
        </w:rPr>
        <w:t>九、其他重要事项的情况说明</w:t>
      </w:r>
    </w:p>
    <w:p>
      <w:pPr>
        <w:keepNext w:val="0"/>
        <w:keepLines w:val="0"/>
        <w:pageBreakBefore w:val="0"/>
        <w:widowControl w:val="0"/>
        <w:kinsoku/>
        <w:wordWrap/>
        <w:overflowPunct/>
        <w:topLinePunct w:val="0"/>
        <w:autoSpaceDE w:val="0"/>
        <w:autoSpaceDN w:val="0"/>
        <w:bidi w:val="0"/>
        <w:adjustRightInd w:val="0"/>
        <w:spacing w:line="576" w:lineRule="exact"/>
        <w:ind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2024年</w:t>
      </w:r>
      <w:r>
        <w:rPr>
          <w:rFonts w:hint="eastAsia" w:ascii="仿宋" w:hAnsi="仿宋" w:eastAsia="仿宋"/>
          <w:sz w:val="32"/>
          <w:szCs w:val="32"/>
          <w:lang w:eastAsia="zh-CN"/>
        </w:rPr>
        <w:t>统计局</w:t>
      </w:r>
      <w:r>
        <w:rPr>
          <w:rFonts w:hint="eastAsia" w:ascii="仿宋" w:hAnsi="仿宋" w:eastAsia="仿宋"/>
          <w:sz w:val="32"/>
          <w:szCs w:val="32"/>
        </w:rPr>
        <w:t>机关运行经费财政拨款预算</w:t>
      </w:r>
      <w:r>
        <w:rPr>
          <w:rFonts w:hint="eastAsia" w:ascii="仿宋_GB2312" w:eastAsia="仿宋_GB2312" w:cs="仿宋_GB2312" w:hAnsiTheme="minorHAnsi"/>
          <w:kern w:val="0"/>
          <w:sz w:val="32"/>
          <w:szCs w:val="32"/>
          <w:lang w:val="en-US" w:eastAsia="zh-CN"/>
        </w:rPr>
        <w:t>16.94</w:t>
      </w:r>
      <w:r>
        <w:rPr>
          <w:rFonts w:hint="eastAsia" w:ascii="仿宋" w:hAnsi="仿宋" w:eastAsia="仿宋"/>
          <w:sz w:val="32"/>
          <w:szCs w:val="32"/>
        </w:rPr>
        <w:t>万元，比2023年预算增加</w:t>
      </w:r>
      <w:r>
        <w:rPr>
          <w:rFonts w:hint="eastAsia" w:ascii="仿宋" w:hAnsi="仿宋" w:eastAsia="仿宋"/>
          <w:sz w:val="32"/>
          <w:szCs w:val="32"/>
          <w:lang w:val="en-US" w:eastAsia="zh-CN"/>
        </w:rPr>
        <w:t>1.2</w:t>
      </w:r>
      <w:r>
        <w:rPr>
          <w:rFonts w:hint="eastAsia" w:ascii="仿宋" w:hAnsi="仿宋" w:eastAsia="仿宋"/>
          <w:sz w:val="32"/>
          <w:szCs w:val="32"/>
        </w:rPr>
        <w:t>万元，增长</w:t>
      </w:r>
      <w:r>
        <w:rPr>
          <w:rFonts w:hint="eastAsia" w:ascii="仿宋_GB2312" w:eastAsia="仿宋_GB2312" w:cs="仿宋_GB2312" w:hAnsiTheme="minorHAnsi"/>
          <w:kern w:val="0"/>
          <w:sz w:val="32"/>
          <w:szCs w:val="32"/>
          <w:lang w:val="en-US" w:eastAsia="zh-CN"/>
        </w:rPr>
        <w:t>7.62</w:t>
      </w:r>
      <w:r>
        <w:rPr>
          <w:rFonts w:ascii="仿宋" w:hAnsi="仿宋" w:eastAsia="仿宋"/>
          <w:sz w:val="32"/>
          <w:szCs w:val="32"/>
        </w:rPr>
        <w:t>%</w:t>
      </w:r>
      <w:r>
        <w:rPr>
          <w:rFonts w:hint="eastAsia" w:ascii="仿宋" w:hAnsi="仿宋" w:eastAsia="仿宋"/>
          <w:sz w:val="32"/>
          <w:szCs w:val="32"/>
        </w:rPr>
        <w:t>。主要是我局</w:t>
      </w:r>
      <w:r>
        <w:rPr>
          <w:rFonts w:hint="eastAsia" w:ascii="仿宋" w:hAnsi="仿宋" w:eastAsia="仿宋"/>
          <w:sz w:val="32"/>
          <w:szCs w:val="32"/>
          <w:lang w:eastAsia="zh-CN"/>
        </w:rPr>
        <w:t>人员增加</w:t>
      </w:r>
      <w:r>
        <w:rPr>
          <w:rFonts w:hint="eastAsia" w:ascii="仿宋_GB2312" w:eastAsia="仿宋_GB2312" w:cs="仿宋_GB2312" w:hAnsiTheme="minorHAnsi"/>
          <w:kern w:val="0"/>
          <w:sz w:val="32"/>
          <w:szCs w:val="32"/>
        </w:rPr>
        <w:t>。</w:t>
      </w:r>
    </w:p>
    <w:p>
      <w:pPr>
        <w:keepNext w:val="0"/>
        <w:keepLines w:val="0"/>
        <w:pageBreakBefore w:val="0"/>
        <w:widowControl w:val="0"/>
        <w:kinsoku/>
        <w:wordWrap/>
        <w:overflowPunct/>
        <w:topLinePunct w:val="0"/>
        <w:autoSpaceDE w:val="0"/>
        <w:autoSpaceDN w:val="0"/>
        <w:bidi w:val="0"/>
        <w:adjustRightInd w:val="0"/>
        <w:spacing w:line="576" w:lineRule="exact"/>
        <w:ind w:right="0" w:rightChars="0" w:firstLine="320" w:firstLineChars="100"/>
        <w:textAlignment w:val="auto"/>
        <w:outlineLvl w:val="9"/>
        <w:rPr>
          <w:rFonts w:ascii="楷体" w:hAnsi="楷体" w:eastAsia="楷体"/>
          <w:sz w:val="32"/>
          <w:szCs w:val="32"/>
        </w:rPr>
      </w:pPr>
      <w:r>
        <w:rPr>
          <w:rFonts w:hint="eastAsia" w:ascii="楷体" w:hAnsi="楷体" w:eastAsia="楷体"/>
          <w:sz w:val="32"/>
          <w:szCs w:val="32"/>
        </w:rPr>
        <w:t>（二）政府采购情况说明。</w:t>
      </w:r>
    </w:p>
    <w:p>
      <w:pPr>
        <w:keepNext w:val="0"/>
        <w:keepLines w:val="0"/>
        <w:pageBreakBefore w:val="0"/>
        <w:widowControl w:val="0"/>
        <w:kinsoku/>
        <w:wordWrap/>
        <w:overflowPunct/>
        <w:topLinePunct w:val="0"/>
        <w:autoSpaceDE w:val="0"/>
        <w:autoSpaceDN w:val="0"/>
        <w:bidi w:val="0"/>
        <w:adjustRightInd w:val="0"/>
        <w:spacing w:line="576" w:lineRule="exact"/>
        <w:ind w:right="0" w:rightChars="0" w:firstLine="640" w:firstLineChars="200"/>
        <w:jc w:val="left"/>
        <w:textAlignment w:val="auto"/>
        <w:outlineLvl w:val="9"/>
        <w:rPr>
          <w:rFonts w:ascii="仿宋_GB2312" w:eastAsia="仿宋_GB2312" w:cs="仿宋_GB2312" w:hAnsiTheme="minorHAnsi"/>
          <w:kern w:val="0"/>
          <w:sz w:val="32"/>
          <w:szCs w:val="32"/>
        </w:rPr>
      </w:pPr>
      <w:r>
        <w:rPr>
          <w:rFonts w:ascii="仿宋" w:hAnsi="仿宋" w:eastAsia="仿宋"/>
          <w:sz w:val="32"/>
          <w:szCs w:val="32"/>
        </w:rPr>
        <w:t>2024</w:t>
      </w:r>
      <w:r>
        <w:rPr>
          <w:rFonts w:hint="eastAsia" w:ascii="仿宋" w:hAnsi="仿宋" w:eastAsia="仿宋"/>
          <w:sz w:val="32"/>
          <w:szCs w:val="32"/>
        </w:rPr>
        <w:t>年</w:t>
      </w:r>
      <w:r>
        <w:rPr>
          <w:rFonts w:hint="eastAsia" w:ascii="仿宋" w:hAnsi="仿宋" w:eastAsia="仿宋"/>
          <w:sz w:val="32"/>
          <w:szCs w:val="32"/>
          <w:lang w:eastAsia="zh-CN"/>
        </w:rPr>
        <w:t>统计局</w:t>
      </w:r>
      <w:r>
        <w:rPr>
          <w:rFonts w:hint="eastAsia" w:ascii="仿宋" w:hAnsi="仿宋" w:eastAsia="仿宋"/>
          <w:sz w:val="32"/>
          <w:szCs w:val="32"/>
        </w:rPr>
        <w:t>政府采购预算总额0万元，其中：政府采购货物预算0万元、政府采购工程预算0万元、政府采购服务预算0万元。</w:t>
      </w:r>
    </w:p>
    <w:p>
      <w:pPr>
        <w:keepNext w:val="0"/>
        <w:keepLines w:val="0"/>
        <w:pageBreakBefore w:val="0"/>
        <w:widowControl w:val="0"/>
        <w:kinsoku/>
        <w:wordWrap/>
        <w:overflowPunct/>
        <w:topLinePunct w:val="0"/>
        <w:bidi w:val="0"/>
        <w:spacing w:line="576" w:lineRule="exact"/>
        <w:ind w:right="0" w:rightChars="0" w:firstLine="320" w:firstLineChars="100"/>
        <w:textAlignment w:val="auto"/>
        <w:outlineLvl w:val="9"/>
        <w:rPr>
          <w:rFonts w:ascii="楷体" w:hAnsi="楷体" w:eastAsia="楷体"/>
          <w:sz w:val="32"/>
          <w:szCs w:val="32"/>
        </w:rPr>
      </w:pPr>
      <w:r>
        <w:rPr>
          <w:rFonts w:hint="eastAsia" w:ascii="楷体" w:hAnsi="楷体" w:eastAsia="楷体"/>
          <w:sz w:val="32"/>
          <w:szCs w:val="32"/>
        </w:rPr>
        <w:t>（三）国有资产占有使用情况说明。</w:t>
      </w:r>
    </w:p>
    <w:p>
      <w:pPr>
        <w:keepNext w:val="0"/>
        <w:keepLines w:val="0"/>
        <w:pageBreakBefore w:val="0"/>
        <w:widowControl w:val="0"/>
        <w:kinsoku/>
        <w:wordWrap/>
        <w:overflowPunct/>
        <w:topLinePunct w:val="0"/>
        <w:autoSpaceDE w:val="0"/>
        <w:autoSpaceDN w:val="0"/>
        <w:bidi w:val="0"/>
        <w:adjustRightInd w:val="0"/>
        <w:spacing w:line="576" w:lineRule="exact"/>
        <w:ind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w:t>
      </w:r>
      <w:r>
        <w:rPr>
          <w:rFonts w:hint="eastAsia" w:ascii="仿宋" w:hAnsi="仿宋" w:eastAsia="仿宋"/>
          <w:sz w:val="32"/>
          <w:szCs w:val="32"/>
        </w:rPr>
        <w:t>3年年底，本单位共有车辆</w:t>
      </w:r>
      <w:r>
        <w:rPr>
          <w:rFonts w:hint="eastAsia" w:ascii="仿宋" w:hAnsi="仿宋" w:eastAsia="仿宋"/>
          <w:sz w:val="32"/>
          <w:szCs w:val="32"/>
          <w:lang w:val="en-US" w:eastAsia="zh-CN"/>
        </w:rPr>
        <w:t>0</w:t>
      </w:r>
      <w:r>
        <w:rPr>
          <w:rFonts w:hint="eastAsia" w:ascii="仿宋" w:hAnsi="仿宋" w:eastAsia="仿宋"/>
          <w:sz w:val="32"/>
          <w:szCs w:val="32"/>
        </w:rPr>
        <w:t>辆，其中，科级领导干部用车（含在职和离退休部级干部用车）辆0辆、机要通信用车辆0辆、应急保障用车辆0辆、执法执勤用车辆</w:t>
      </w:r>
      <w:r>
        <w:rPr>
          <w:rFonts w:hint="eastAsia" w:ascii="仿宋" w:hAnsi="仿宋" w:eastAsia="仿宋"/>
          <w:sz w:val="32"/>
          <w:szCs w:val="32"/>
          <w:lang w:val="en-US" w:eastAsia="zh-CN"/>
        </w:rPr>
        <w:t>0</w:t>
      </w:r>
      <w:r>
        <w:rPr>
          <w:rFonts w:hint="eastAsia" w:ascii="仿宋" w:hAnsi="仿宋" w:eastAsia="仿宋"/>
          <w:sz w:val="32"/>
          <w:szCs w:val="32"/>
        </w:rPr>
        <w:t>辆、特种专业技术用车辆</w:t>
      </w:r>
      <w:r>
        <w:rPr>
          <w:rFonts w:hint="eastAsia" w:ascii="仿宋" w:hAnsi="仿宋" w:eastAsia="仿宋"/>
          <w:sz w:val="32"/>
          <w:szCs w:val="32"/>
          <w:lang w:val="en-US" w:eastAsia="zh-CN"/>
        </w:rPr>
        <w:t>1</w:t>
      </w:r>
      <w:r>
        <w:rPr>
          <w:rFonts w:hint="eastAsia" w:ascii="仿宋" w:hAnsi="仿宋" w:eastAsia="仿宋"/>
          <w:sz w:val="32"/>
          <w:szCs w:val="32"/>
        </w:rPr>
        <w:t>辆、其他用车辆0辆，其他用车主要是用途的车辆。单位价值</w:t>
      </w:r>
      <w:r>
        <w:rPr>
          <w:rFonts w:ascii="仿宋" w:hAnsi="仿宋" w:eastAsia="仿宋"/>
          <w:sz w:val="32"/>
          <w:szCs w:val="32"/>
        </w:rPr>
        <w:t>50</w:t>
      </w:r>
      <w:r>
        <w:rPr>
          <w:rFonts w:hint="eastAsia" w:ascii="仿宋" w:hAnsi="仿宋" w:eastAsia="仿宋"/>
          <w:sz w:val="32"/>
          <w:szCs w:val="32"/>
        </w:rPr>
        <w:t>万元以上通用设备0台，单位价值</w:t>
      </w:r>
      <w:r>
        <w:rPr>
          <w:rFonts w:ascii="仿宋" w:hAnsi="仿宋" w:eastAsia="仿宋"/>
          <w:sz w:val="32"/>
          <w:szCs w:val="32"/>
        </w:rPr>
        <w:t>100</w:t>
      </w:r>
      <w:r>
        <w:rPr>
          <w:rFonts w:hint="eastAsia" w:ascii="仿宋" w:hAnsi="仿宋" w:eastAsia="仿宋"/>
          <w:sz w:val="32"/>
          <w:szCs w:val="32"/>
        </w:rPr>
        <w:t>万元以上专用设备0台。</w:t>
      </w:r>
    </w:p>
    <w:p>
      <w:pPr>
        <w:keepNext w:val="0"/>
        <w:keepLines w:val="0"/>
        <w:pageBreakBefore w:val="0"/>
        <w:widowControl w:val="0"/>
        <w:kinsoku/>
        <w:wordWrap/>
        <w:overflowPunct/>
        <w:topLinePunct w:val="0"/>
        <w:bidi w:val="0"/>
        <w:spacing w:line="576" w:lineRule="exact"/>
        <w:ind w:right="0" w:rightChars="0" w:firstLine="640" w:firstLineChars="200"/>
        <w:textAlignment w:val="auto"/>
        <w:outlineLvl w:val="9"/>
        <w:rPr>
          <w:rFonts w:ascii="仿宋" w:hAnsi="仿宋" w:eastAsia="仿宋"/>
          <w:b/>
          <w:sz w:val="32"/>
          <w:szCs w:val="32"/>
        </w:rPr>
      </w:pPr>
      <w:r>
        <w:rPr>
          <w:rFonts w:hint="eastAsia" w:ascii="楷体" w:hAnsi="楷体" w:eastAsia="楷体"/>
          <w:sz w:val="32"/>
          <w:szCs w:val="32"/>
        </w:rPr>
        <w:t>（四）202</w:t>
      </w:r>
      <w:r>
        <w:rPr>
          <w:rFonts w:hint="eastAsia" w:ascii="楷体" w:hAnsi="楷体" w:eastAsia="楷体"/>
          <w:sz w:val="32"/>
          <w:szCs w:val="32"/>
          <w:lang w:val="en-US" w:eastAsia="zh-CN"/>
        </w:rPr>
        <w:t>4</w:t>
      </w:r>
      <w:r>
        <w:rPr>
          <w:rFonts w:hint="eastAsia" w:ascii="楷体" w:hAnsi="楷体" w:eastAsia="楷体"/>
          <w:sz w:val="32"/>
          <w:szCs w:val="32"/>
        </w:rPr>
        <w:t>年预算绩效目标管理情况。</w:t>
      </w:r>
    </w:p>
    <w:p>
      <w:pPr>
        <w:keepNext w:val="0"/>
        <w:keepLines w:val="0"/>
        <w:pageBreakBefore w:val="0"/>
        <w:widowControl w:val="0"/>
        <w:kinsoku/>
        <w:wordWrap/>
        <w:overflowPunct/>
        <w:topLinePunct w:val="0"/>
        <w:bidi w:val="0"/>
        <w:spacing w:line="576" w:lineRule="exact"/>
        <w:ind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年实现财政支出绩效目标管理全覆盖，实行绩效目标管理</w:t>
      </w:r>
      <w:r>
        <w:rPr>
          <w:rFonts w:hint="eastAsia" w:ascii="仿宋_GB2312" w:eastAsia="仿宋_GB2312" w:cs="仿宋_GB2312" w:hAnsiTheme="minorHAnsi"/>
          <w:kern w:val="0"/>
          <w:sz w:val="32"/>
          <w:szCs w:val="32"/>
          <w:u w:val="single"/>
        </w:rPr>
        <w:t xml:space="preserve"> 1</w:t>
      </w:r>
      <w:r>
        <w:rPr>
          <w:rFonts w:hint="eastAsia" w:ascii="仿宋_GB2312" w:eastAsia="仿宋_GB2312" w:cs="仿宋_GB2312" w:hAnsiTheme="minorHAnsi"/>
          <w:kern w:val="0"/>
          <w:sz w:val="32"/>
          <w:szCs w:val="32"/>
          <w:u w:val="single"/>
          <w:lang w:val="en-US" w:eastAsia="zh-CN"/>
        </w:rPr>
        <w:t>5</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342.77</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lang w:val="en-US" w:eastAsia="zh-CN"/>
        </w:rPr>
        <w:t>342.77</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个，分别是（项目名称，资金万元；），占年初项目支出预算总额的。</w:t>
      </w:r>
    </w:p>
    <w:p>
      <w:pPr>
        <w:keepNext w:val="0"/>
        <w:keepLines w:val="0"/>
        <w:pageBreakBefore w:val="0"/>
        <w:widowControl w:val="0"/>
        <w:kinsoku/>
        <w:wordWrap/>
        <w:overflowPunct/>
        <w:topLinePunct w:val="0"/>
        <w:bidi w:val="0"/>
        <w:spacing w:line="576" w:lineRule="exact"/>
        <w:ind w:left="960" w:right="0" w:rightChars="0" w:hanging="960" w:hangingChars="300"/>
        <w:textAlignment w:val="auto"/>
        <w:outlineLvl w:val="9"/>
        <w:rPr>
          <w:rFonts w:ascii="仿宋" w:hAnsi="仿宋" w:eastAsia="仿宋"/>
          <w:sz w:val="32"/>
          <w:szCs w:val="32"/>
        </w:rPr>
      </w:pPr>
      <w:r>
        <w:rPr>
          <w:rFonts w:hint="eastAsia" w:ascii="楷体" w:hAnsi="楷体" w:eastAsia="楷体"/>
          <w:sz w:val="32"/>
          <w:szCs w:val="32"/>
        </w:rPr>
        <w:t>（五）扶贫资金管理使用情况及绩效目标情况说明。</w:t>
      </w:r>
      <w:r>
        <w:rPr>
          <w:rFonts w:hint="eastAsia" w:ascii="仿宋" w:hAnsi="仿宋" w:eastAsia="仿宋"/>
          <w:sz w:val="32"/>
          <w:szCs w:val="32"/>
        </w:rPr>
        <w:t>本单位无涉及扶贫资金</w:t>
      </w: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r>
        <w:rPr>
          <w:rFonts w:hint="eastAsia" w:ascii="楷体" w:hAnsi="楷体" w:eastAsia="楷体"/>
          <w:sz w:val="32"/>
          <w:szCs w:val="32"/>
        </w:rPr>
        <w:t>（六）政府债务情况。</w:t>
      </w:r>
      <w:r>
        <w:rPr>
          <w:rFonts w:hint="eastAsia" w:ascii="仿宋" w:hAnsi="仿宋" w:eastAsia="仿宋"/>
          <w:sz w:val="32"/>
          <w:szCs w:val="32"/>
        </w:rPr>
        <w:t>本单位无政府债务</w:t>
      </w: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pacing w:line="576" w:lineRule="exact"/>
        <w:ind w:right="0" w:rightChars="0"/>
        <w:jc w:val="center"/>
        <w:textAlignment w:val="auto"/>
        <w:outlineLvl w:val="9"/>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pacing w:line="576" w:lineRule="exact"/>
        <w:ind w:right="0" w:rightChars="0"/>
        <w:jc w:val="center"/>
        <w:textAlignment w:val="auto"/>
        <w:outlineLvl w:val="9"/>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pacing w:line="576" w:lineRule="exact"/>
        <w:ind w:right="0" w:rightChars="0"/>
        <w:jc w:val="center"/>
        <w:textAlignment w:val="auto"/>
        <w:outlineLvl w:val="9"/>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pacing w:line="576" w:lineRule="exact"/>
        <w:ind w:right="0" w:rightChars="0"/>
        <w:jc w:val="center"/>
        <w:textAlignment w:val="auto"/>
        <w:outlineLvl w:val="9"/>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pacing w:line="576" w:lineRule="exact"/>
        <w:ind w:right="0" w:rightChars="0"/>
        <w:jc w:val="center"/>
        <w:textAlignment w:val="auto"/>
        <w:outlineLvl w:val="9"/>
        <w:rPr>
          <w:rFonts w:hint="eastAsia" w:ascii="方正小标宋简体" w:hAnsi="仿宋" w:eastAsia="方正小标宋简体"/>
          <w:sz w:val="32"/>
          <w:szCs w:val="32"/>
        </w:rPr>
      </w:pPr>
      <w:bookmarkStart w:id="0" w:name="_GoBack"/>
      <w:bookmarkEnd w:id="0"/>
    </w:p>
    <w:p>
      <w:pPr>
        <w:keepNext w:val="0"/>
        <w:keepLines w:val="0"/>
        <w:pageBreakBefore w:val="0"/>
        <w:widowControl w:val="0"/>
        <w:kinsoku/>
        <w:wordWrap/>
        <w:overflowPunct/>
        <w:topLinePunct w:val="0"/>
        <w:bidi w:val="0"/>
        <w:spacing w:line="576" w:lineRule="exact"/>
        <w:ind w:right="0" w:rightChars="0"/>
        <w:jc w:val="center"/>
        <w:textAlignment w:val="auto"/>
        <w:outlineLvl w:val="9"/>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keepNext w:val="0"/>
        <w:keepLines w:val="0"/>
        <w:pageBreakBefore w:val="0"/>
        <w:widowControl w:val="0"/>
        <w:kinsoku/>
        <w:wordWrap/>
        <w:overflowPunct/>
        <w:topLinePunct w:val="0"/>
        <w:bidi w:val="0"/>
        <w:spacing w:line="576" w:lineRule="exact"/>
        <w:ind w:right="0" w:rightChars="0"/>
        <w:jc w:val="center"/>
        <w:textAlignment w:val="auto"/>
        <w:outlineLvl w:val="9"/>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keepNext w:val="0"/>
        <w:keepLines w:val="0"/>
        <w:pageBreakBefore w:val="0"/>
        <w:widowControl w:val="0"/>
        <w:kinsoku/>
        <w:wordWrap/>
        <w:overflowPunct/>
        <w:topLinePunct w:val="0"/>
        <w:autoSpaceDE w:val="0"/>
        <w:autoSpaceDN w:val="0"/>
        <w:bidi w:val="0"/>
        <w:adjustRightInd w:val="0"/>
        <w:spacing w:line="576" w:lineRule="exact"/>
        <w:ind w:right="0" w:rightChars="0"/>
        <w:jc w:val="left"/>
        <w:textAlignment w:val="auto"/>
        <w:outlineLvl w:val="9"/>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keepNext w:val="0"/>
        <w:keepLines w:val="0"/>
        <w:pageBreakBefore w:val="0"/>
        <w:widowControl w:val="0"/>
        <w:kinsoku/>
        <w:wordWrap/>
        <w:overflowPunct/>
        <w:topLinePunct w:val="0"/>
        <w:autoSpaceDE w:val="0"/>
        <w:autoSpaceDN w:val="0"/>
        <w:bidi w:val="0"/>
        <w:adjustRightInd w:val="0"/>
        <w:spacing w:line="576" w:lineRule="exact"/>
        <w:ind w:right="0" w:rightChars="0"/>
        <w:jc w:val="left"/>
        <w:textAlignment w:val="auto"/>
        <w:outlineLvl w:val="9"/>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keepNext w:val="0"/>
        <w:keepLines w:val="0"/>
        <w:pageBreakBefore w:val="0"/>
        <w:widowControl w:val="0"/>
        <w:kinsoku/>
        <w:wordWrap/>
        <w:overflowPunct/>
        <w:topLinePunct w:val="0"/>
        <w:autoSpaceDE w:val="0"/>
        <w:autoSpaceDN w:val="0"/>
        <w:bidi w:val="0"/>
        <w:adjustRightInd w:val="0"/>
        <w:spacing w:line="576" w:lineRule="exact"/>
        <w:ind w:right="0" w:rightChars="0"/>
        <w:jc w:val="left"/>
        <w:textAlignment w:val="auto"/>
        <w:outlineLvl w:val="9"/>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keepNext w:val="0"/>
        <w:keepLines w:val="0"/>
        <w:pageBreakBefore w:val="0"/>
        <w:widowControl w:val="0"/>
        <w:kinsoku/>
        <w:wordWrap/>
        <w:overflowPunct/>
        <w:topLinePunct w:val="0"/>
        <w:bidi w:val="0"/>
        <w:spacing w:line="576" w:lineRule="exact"/>
        <w:ind w:right="0" w:rightChars="0"/>
        <w:textAlignment w:val="auto"/>
        <w:outlineLvl w:val="9"/>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Calibri Light">
    <w:panose1 w:val="020F0302020204030204"/>
    <w:charset w:val="00"/>
    <w:family w:val="modern"/>
    <w:pitch w:val="default"/>
    <w:sig w:usb0="A00002EF" w:usb1="4000207B" w:usb2="00000000" w:usb3="00000000" w:csb0="2000019F" w:csb1="0000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roman"/>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Calibri Light">
    <w:panose1 w:val="020F0302020204030204"/>
    <w:charset w:val="00"/>
    <w:family w:val="decorative"/>
    <w:pitch w:val="default"/>
    <w:sig w:usb0="A00002EF" w:usb1="4000207B" w:usb2="00000000" w:usb3="00000000" w:csb0="2000019F" w:csb1="00000000"/>
  </w:font>
  <w:font w:name="Arial">
    <w:panose1 w:val="020B0604020202020204"/>
    <w:charset w:val="00"/>
    <w:family w:val="modern"/>
    <w:pitch w:val="default"/>
    <w:sig w:usb0="E0002AFF" w:usb1="C0007843" w:usb2="00000009" w:usb3="00000000" w:csb0="400001FF" w:csb1="FFFF0000"/>
  </w:font>
  <w:font w:name="华文中宋">
    <w:altName w:val="宋体"/>
    <w:panose1 w:val="00000000000000000000"/>
    <w:charset w:val="86"/>
    <w:family w:val="auto"/>
    <w:pitch w:val="default"/>
    <w:sig w:usb0="00000000" w:usb1="00000000" w:usb2="00000010" w:usb3="00000000" w:csb0="0004009F" w:csb1="00000000"/>
  </w:font>
  <w:font w:name="楷体_GB2312">
    <w:panose1 w:val="02010609030101010101"/>
    <w:charset w:val="86"/>
    <w:family w:val="roman"/>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decorative"/>
    <w:pitch w:val="default"/>
    <w:sig w:usb0="E0002AFF" w:usb1="C0007843" w:usb2="00000009" w:usb3="00000000" w:csb0="400001FF" w:csb1="FFFF0000"/>
  </w:font>
  <w:font w:name="楷体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roma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9</w:t>
    </w:r>
    <w:r>
      <w:rPr>
        <w:rStyle w:val="6"/>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04A9D"/>
    <w:rsid w:val="00015A4C"/>
    <w:rsid w:val="000337FE"/>
    <w:rsid w:val="00041C59"/>
    <w:rsid w:val="00043AA8"/>
    <w:rsid w:val="0006585B"/>
    <w:rsid w:val="00086B54"/>
    <w:rsid w:val="00096F91"/>
    <w:rsid w:val="000971F3"/>
    <w:rsid w:val="000A1AFA"/>
    <w:rsid w:val="000A6427"/>
    <w:rsid w:val="000C6F7C"/>
    <w:rsid w:val="000F293F"/>
    <w:rsid w:val="00105104"/>
    <w:rsid w:val="001162B6"/>
    <w:rsid w:val="00117E01"/>
    <w:rsid w:val="00137481"/>
    <w:rsid w:val="0014233A"/>
    <w:rsid w:val="00151C9B"/>
    <w:rsid w:val="00160D39"/>
    <w:rsid w:val="00160FBC"/>
    <w:rsid w:val="00174215"/>
    <w:rsid w:val="0019694B"/>
    <w:rsid w:val="001A47B8"/>
    <w:rsid w:val="001A6CD9"/>
    <w:rsid w:val="001B4F21"/>
    <w:rsid w:val="001D15C4"/>
    <w:rsid w:val="001E25E8"/>
    <w:rsid w:val="001E413D"/>
    <w:rsid w:val="001F5E8D"/>
    <w:rsid w:val="00211391"/>
    <w:rsid w:val="00213708"/>
    <w:rsid w:val="0022487F"/>
    <w:rsid w:val="00226F3D"/>
    <w:rsid w:val="00230405"/>
    <w:rsid w:val="00255CD4"/>
    <w:rsid w:val="00266E39"/>
    <w:rsid w:val="00285201"/>
    <w:rsid w:val="002A4D3E"/>
    <w:rsid w:val="002B2ACA"/>
    <w:rsid w:val="002B4B50"/>
    <w:rsid w:val="002E45FB"/>
    <w:rsid w:val="002E550F"/>
    <w:rsid w:val="003044FC"/>
    <w:rsid w:val="003060B7"/>
    <w:rsid w:val="00307386"/>
    <w:rsid w:val="0031342C"/>
    <w:rsid w:val="003139C9"/>
    <w:rsid w:val="00322979"/>
    <w:rsid w:val="00323C72"/>
    <w:rsid w:val="00343F94"/>
    <w:rsid w:val="0036143E"/>
    <w:rsid w:val="003646E6"/>
    <w:rsid w:val="00371B62"/>
    <w:rsid w:val="00371BC9"/>
    <w:rsid w:val="003A4455"/>
    <w:rsid w:val="003A4970"/>
    <w:rsid w:val="003C07B1"/>
    <w:rsid w:val="003D7DD1"/>
    <w:rsid w:val="003E1108"/>
    <w:rsid w:val="003E21A4"/>
    <w:rsid w:val="003E2D5B"/>
    <w:rsid w:val="003E40A5"/>
    <w:rsid w:val="003E6387"/>
    <w:rsid w:val="0042253D"/>
    <w:rsid w:val="00440230"/>
    <w:rsid w:val="00451FE5"/>
    <w:rsid w:val="004573CF"/>
    <w:rsid w:val="00475EF9"/>
    <w:rsid w:val="004773FB"/>
    <w:rsid w:val="00480381"/>
    <w:rsid w:val="00490C1D"/>
    <w:rsid w:val="004970A2"/>
    <w:rsid w:val="004B706F"/>
    <w:rsid w:val="004B70D0"/>
    <w:rsid w:val="004C433B"/>
    <w:rsid w:val="004C45A4"/>
    <w:rsid w:val="004D363A"/>
    <w:rsid w:val="004F0973"/>
    <w:rsid w:val="00505ED6"/>
    <w:rsid w:val="00510F60"/>
    <w:rsid w:val="00512DED"/>
    <w:rsid w:val="005227B8"/>
    <w:rsid w:val="0053665F"/>
    <w:rsid w:val="00542D4C"/>
    <w:rsid w:val="005472B4"/>
    <w:rsid w:val="00552117"/>
    <w:rsid w:val="005526AE"/>
    <w:rsid w:val="00556119"/>
    <w:rsid w:val="0056413E"/>
    <w:rsid w:val="00570F81"/>
    <w:rsid w:val="00576C78"/>
    <w:rsid w:val="00577343"/>
    <w:rsid w:val="00587E83"/>
    <w:rsid w:val="00593341"/>
    <w:rsid w:val="0059715A"/>
    <w:rsid w:val="005B264E"/>
    <w:rsid w:val="005B3F2E"/>
    <w:rsid w:val="005B7595"/>
    <w:rsid w:val="005C7919"/>
    <w:rsid w:val="005D0959"/>
    <w:rsid w:val="005D584E"/>
    <w:rsid w:val="005E5236"/>
    <w:rsid w:val="005F2417"/>
    <w:rsid w:val="005F2DA3"/>
    <w:rsid w:val="006022D4"/>
    <w:rsid w:val="00611AA9"/>
    <w:rsid w:val="00620277"/>
    <w:rsid w:val="006317EE"/>
    <w:rsid w:val="00634839"/>
    <w:rsid w:val="00640514"/>
    <w:rsid w:val="00641243"/>
    <w:rsid w:val="00642B44"/>
    <w:rsid w:val="00643004"/>
    <w:rsid w:val="00653B9E"/>
    <w:rsid w:val="0067255B"/>
    <w:rsid w:val="006A0EE6"/>
    <w:rsid w:val="006A2082"/>
    <w:rsid w:val="006A497D"/>
    <w:rsid w:val="006B41A1"/>
    <w:rsid w:val="006C4305"/>
    <w:rsid w:val="006D5592"/>
    <w:rsid w:val="006F499F"/>
    <w:rsid w:val="007307C3"/>
    <w:rsid w:val="00737A27"/>
    <w:rsid w:val="00742F52"/>
    <w:rsid w:val="007529D0"/>
    <w:rsid w:val="00753C16"/>
    <w:rsid w:val="00783F8A"/>
    <w:rsid w:val="007A00E8"/>
    <w:rsid w:val="007A6ED2"/>
    <w:rsid w:val="007C5A03"/>
    <w:rsid w:val="007E78BC"/>
    <w:rsid w:val="008001B3"/>
    <w:rsid w:val="0080401E"/>
    <w:rsid w:val="00813A99"/>
    <w:rsid w:val="00821F7C"/>
    <w:rsid w:val="008314A5"/>
    <w:rsid w:val="00835E1D"/>
    <w:rsid w:val="008468ED"/>
    <w:rsid w:val="0085478E"/>
    <w:rsid w:val="0086465E"/>
    <w:rsid w:val="00871235"/>
    <w:rsid w:val="00875CA7"/>
    <w:rsid w:val="008770A2"/>
    <w:rsid w:val="00885072"/>
    <w:rsid w:val="00890723"/>
    <w:rsid w:val="0089630C"/>
    <w:rsid w:val="00896FEA"/>
    <w:rsid w:val="008A523F"/>
    <w:rsid w:val="008A5AB8"/>
    <w:rsid w:val="008A6719"/>
    <w:rsid w:val="008C1F95"/>
    <w:rsid w:val="008D39A8"/>
    <w:rsid w:val="008E2CB4"/>
    <w:rsid w:val="008E490F"/>
    <w:rsid w:val="008F322A"/>
    <w:rsid w:val="008F37FF"/>
    <w:rsid w:val="008F5CAA"/>
    <w:rsid w:val="00905715"/>
    <w:rsid w:val="009118B2"/>
    <w:rsid w:val="009127B0"/>
    <w:rsid w:val="0095324A"/>
    <w:rsid w:val="00953C23"/>
    <w:rsid w:val="0096127B"/>
    <w:rsid w:val="00976DE4"/>
    <w:rsid w:val="00993FFC"/>
    <w:rsid w:val="009B2113"/>
    <w:rsid w:val="009D0EC6"/>
    <w:rsid w:val="009D2807"/>
    <w:rsid w:val="009D330A"/>
    <w:rsid w:val="009D58A7"/>
    <w:rsid w:val="00A04FAE"/>
    <w:rsid w:val="00A239B3"/>
    <w:rsid w:val="00A25D6E"/>
    <w:rsid w:val="00A262A5"/>
    <w:rsid w:val="00A3432E"/>
    <w:rsid w:val="00A42EB8"/>
    <w:rsid w:val="00A53E77"/>
    <w:rsid w:val="00A615F1"/>
    <w:rsid w:val="00A77998"/>
    <w:rsid w:val="00A81865"/>
    <w:rsid w:val="00A825B5"/>
    <w:rsid w:val="00A83879"/>
    <w:rsid w:val="00AC1350"/>
    <w:rsid w:val="00AF49A6"/>
    <w:rsid w:val="00B007C8"/>
    <w:rsid w:val="00B44BFD"/>
    <w:rsid w:val="00B60721"/>
    <w:rsid w:val="00B6522F"/>
    <w:rsid w:val="00B67A9E"/>
    <w:rsid w:val="00B74CCE"/>
    <w:rsid w:val="00B84681"/>
    <w:rsid w:val="00B92C71"/>
    <w:rsid w:val="00B96D8F"/>
    <w:rsid w:val="00BB14A5"/>
    <w:rsid w:val="00BC53AC"/>
    <w:rsid w:val="00BC5647"/>
    <w:rsid w:val="00BD2BDC"/>
    <w:rsid w:val="00BD58F0"/>
    <w:rsid w:val="00BD7812"/>
    <w:rsid w:val="00BE624A"/>
    <w:rsid w:val="00BE6B5B"/>
    <w:rsid w:val="00BE6DF3"/>
    <w:rsid w:val="00C131C5"/>
    <w:rsid w:val="00C2239E"/>
    <w:rsid w:val="00C42B27"/>
    <w:rsid w:val="00C51E09"/>
    <w:rsid w:val="00C57B85"/>
    <w:rsid w:val="00C63BEE"/>
    <w:rsid w:val="00C76A23"/>
    <w:rsid w:val="00C77CA6"/>
    <w:rsid w:val="00C84759"/>
    <w:rsid w:val="00C85F5E"/>
    <w:rsid w:val="00CC47BA"/>
    <w:rsid w:val="00CD29AE"/>
    <w:rsid w:val="00CE472E"/>
    <w:rsid w:val="00CE7C4E"/>
    <w:rsid w:val="00CF4F30"/>
    <w:rsid w:val="00D10A84"/>
    <w:rsid w:val="00D22EF7"/>
    <w:rsid w:val="00D25868"/>
    <w:rsid w:val="00D4552B"/>
    <w:rsid w:val="00D632F1"/>
    <w:rsid w:val="00D8669F"/>
    <w:rsid w:val="00DB0231"/>
    <w:rsid w:val="00DC0879"/>
    <w:rsid w:val="00DC46E8"/>
    <w:rsid w:val="00DF13BF"/>
    <w:rsid w:val="00E03AF9"/>
    <w:rsid w:val="00E104B4"/>
    <w:rsid w:val="00E115D0"/>
    <w:rsid w:val="00E233E9"/>
    <w:rsid w:val="00E32EC0"/>
    <w:rsid w:val="00E4103C"/>
    <w:rsid w:val="00E42C47"/>
    <w:rsid w:val="00E602C6"/>
    <w:rsid w:val="00E6642D"/>
    <w:rsid w:val="00E745C7"/>
    <w:rsid w:val="00E811E8"/>
    <w:rsid w:val="00E82B77"/>
    <w:rsid w:val="00E904F2"/>
    <w:rsid w:val="00EB4996"/>
    <w:rsid w:val="00EB5EFC"/>
    <w:rsid w:val="00EB7129"/>
    <w:rsid w:val="00EC3348"/>
    <w:rsid w:val="00EC67E1"/>
    <w:rsid w:val="00EC6D50"/>
    <w:rsid w:val="00EC6FCF"/>
    <w:rsid w:val="00EE0A42"/>
    <w:rsid w:val="00F00AB4"/>
    <w:rsid w:val="00F00FDB"/>
    <w:rsid w:val="00F06045"/>
    <w:rsid w:val="00F07089"/>
    <w:rsid w:val="00F21E99"/>
    <w:rsid w:val="00F4454F"/>
    <w:rsid w:val="00F50409"/>
    <w:rsid w:val="00F62D1D"/>
    <w:rsid w:val="00F837E1"/>
    <w:rsid w:val="00F96845"/>
    <w:rsid w:val="00FB07EE"/>
    <w:rsid w:val="01DF150E"/>
    <w:rsid w:val="08602EE2"/>
    <w:rsid w:val="110A3E97"/>
    <w:rsid w:val="1449792A"/>
    <w:rsid w:val="18DB1BD5"/>
    <w:rsid w:val="1B0277E3"/>
    <w:rsid w:val="1B375D24"/>
    <w:rsid w:val="1E012619"/>
    <w:rsid w:val="20D970F2"/>
    <w:rsid w:val="237A41C3"/>
    <w:rsid w:val="26450F30"/>
    <w:rsid w:val="2B035E9D"/>
    <w:rsid w:val="2B1020EE"/>
    <w:rsid w:val="35980C76"/>
    <w:rsid w:val="37460B3B"/>
    <w:rsid w:val="3C824588"/>
    <w:rsid w:val="3F744629"/>
    <w:rsid w:val="3F7E3672"/>
    <w:rsid w:val="408B6921"/>
    <w:rsid w:val="415C44C9"/>
    <w:rsid w:val="416702DC"/>
    <w:rsid w:val="46015167"/>
    <w:rsid w:val="4A7D0844"/>
    <w:rsid w:val="4ED25C59"/>
    <w:rsid w:val="50E87B49"/>
    <w:rsid w:val="520B76F9"/>
    <w:rsid w:val="53861468"/>
    <w:rsid w:val="57CC0FC7"/>
    <w:rsid w:val="58237526"/>
    <w:rsid w:val="5A03558F"/>
    <w:rsid w:val="5D094830"/>
    <w:rsid w:val="5F991667"/>
    <w:rsid w:val="626752E2"/>
    <w:rsid w:val="63B55975"/>
    <w:rsid w:val="669E7FD2"/>
    <w:rsid w:val="6B39651C"/>
    <w:rsid w:val="6B681DC7"/>
    <w:rsid w:val="6CB155E2"/>
    <w:rsid w:val="72477770"/>
    <w:rsid w:val="7478580C"/>
    <w:rsid w:val="7828402F"/>
    <w:rsid w:val="7EE54599"/>
  </w:rsids>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733C57-9D89-43E2-A6F5-3EAD1AA85604}">
  <ds:schemaRefs/>
</ds:datastoreItem>
</file>

<file path=docProps/app.xml><?xml version="1.0" encoding="utf-8"?>
<Properties xmlns="http://schemas.openxmlformats.org/officeDocument/2006/extended-properties" xmlns:vt="http://schemas.openxmlformats.org/officeDocument/2006/docPropsVTypes">
  <Template>Normal</Template>
  <Pages>12</Pages>
  <Words>674</Words>
  <Characters>3842</Characters>
  <Lines>32</Lines>
  <Paragraphs>9</Paragraphs>
  <ScaleCrop>false</ScaleCrop>
  <LinksUpToDate>false</LinksUpToDate>
  <CharactersWithSpaces>4507</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2022-03-10T09:55:00Z</cp:lastPrinted>
  <dcterms:modified xsi:type="dcterms:W3CDTF">2024-02-03T11:11:13Z</dcterms:modified>
  <cp:revision>244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183BF18A63B341BCA629C40766A8FA21</vt:lpwstr>
  </property>
</Properties>
</file>