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年部门（单位）预算信息公开模板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嘉黎县</w:t>
      </w:r>
      <w:r>
        <w:rPr>
          <w:rFonts w:hint="eastAsia" w:ascii="方正小标宋简体" w:hAnsi="仿宋" w:eastAsia="方正小标宋简体"/>
          <w:sz w:val="44"/>
          <w:szCs w:val="44"/>
          <w:lang w:val="en-US" w:eastAsia="zh-CN"/>
        </w:rPr>
        <w:t>嘉黎镇小学</w:t>
      </w:r>
      <w:r>
        <w:rPr>
          <w:rFonts w:hint="eastAsia" w:ascii="方正小标宋简体" w:hAnsi="仿宋" w:eastAsia="方正小标宋简体"/>
          <w:sz w:val="44"/>
          <w:szCs w:val="44"/>
        </w:rPr>
        <w:t>（部门/单位）202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color w:val="0000FF"/>
          <w:sz w:val="32"/>
          <w:szCs w:val="32"/>
        </w:rPr>
      </w:pPr>
    </w:p>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2025</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 xml:space="preserve">月 </w:t>
      </w:r>
      <w:r>
        <w:rPr>
          <w:rFonts w:hint="eastAsia" w:ascii="仿宋" w:hAnsi="仿宋" w:eastAsia="仿宋"/>
          <w:color w:val="000000" w:themeColor="text1"/>
          <w:sz w:val="32"/>
          <w:szCs w:val="32"/>
          <w:lang w:val="en-US" w:eastAsia="zh-CN"/>
          <w14:textFill>
            <w14:solidFill>
              <w14:schemeClr w14:val="tx1"/>
            </w14:solidFill>
          </w14:textFill>
        </w:rPr>
        <w:t>25</w:t>
      </w:r>
      <w:r>
        <w:rPr>
          <w:rFonts w:hint="eastAsia" w:ascii="仿宋" w:hAnsi="仿宋" w:eastAsia="仿宋"/>
          <w:color w:val="000000" w:themeColor="text1"/>
          <w:sz w:val="32"/>
          <w:szCs w:val="32"/>
          <w14:textFill>
            <w14:solidFill>
              <w14:schemeClr w14:val="tx1"/>
            </w14:solidFill>
          </w14:textFill>
        </w:rPr>
        <w:t>日</w:t>
      </w:r>
    </w:p>
    <w:p>
      <w:pPr>
        <w:jc w:val="center"/>
        <w:rPr>
          <w:rFonts w:hint="eastAsia" w:ascii="仿宋" w:hAnsi="仿宋" w:eastAsia="仿宋"/>
          <w:color w:val="000000" w:themeColor="text1"/>
          <w:sz w:val="32"/>
          <w:szCs w:val="32"/>
          <w14:textFill>
            <w14:solidFill>
              <w14:schemeClr w14:val="tx1"/>
            </w14:solidFill>
          </w14:textFill>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嘉黎镇小学</w:t>
      </w:r>
      <w:r>
        <w:rPr>
          <w:rFonts w:hint="eastAsia" w:ascii="方正小标宋简体" w:hAnsi="仿宋" w:eastAsia="方正小标宋简体"/>
          <w:sz w:val="32"/>
          <w:szCs w:val="32"/>
        </w:rPr>
        <w:t>（部门/单位）概况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嘉黎镇小学</w:t>
      </w:r>
      <w:r>
        <w:rPr>
          <w:rFonts w:hint="eastAsia" w:ascii="方正小标宋简体" w:hAnsi="仿宋" w:eastAsia="方正小标宋简体"/>
          <w:sz w:val="32"/>
          <w:szCs w:val="32"/>
        </w:rPr>
        <w:t>（部门/单位）部门（单位）预算明细表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嘉黎镇小学</w:t>
      </w:r>
      <w:r>
        <w:rPr>
          <w:rFonts w:hint="eastAsia" w:ascii="方正小标宋简体" w:hAnsi="仿宋" w:eastAsia="方正小标宋简体"/>
          <w:sz w:val="32"/>
          <w:szCs w:val="32"/>
        </w:rPr>
        <w:t>（部门/单位）部门（单位）预算数据分析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嘉黎镇小学</w:t>
      </w:r>
      <w:r>
        <w:rPr>
          <w:rFonts w:hint="eastAsia" w:ascii="方正小标宋简体" w:hAnsi="仿宋" w:eastAsia="方正小标宋简体"/>
          <w:sz w:val="32"/>
          <w:szCs w:val="32"/>
        </w:rPr>
        <w:t>（部门/单位）概况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组织部门印发的“三定”方案文件，规定的部门（单位）主要职责。</w:t>
      </w:r>
      <w:r>
        <w:rPr>
          <w:rFonts w:hint="eastAsia" w:ascii="仿宋" w:hAnsi="仿宋" w:eastAsia="仿宋"/>
          <w:sz w:val="32"/>
          <w:szCs w:val="32"/>
          <w:lang w:eastAsia="zh-CN"/>
        </w:rPr>
        <w:t>我校无独立的三定方案。</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ascii="仿宋" w:hAnsi="仿宋" w:eastAsia="仿宋"/>
          <w:sz w:val="32"/>
          <w:szCs w:val="32"/>
        </w:rPr>
      </w:pPr>
      <w:r>
        <w:rPr>
          <w:rFonts w:hint="eastAsia" w:ascii="仿宋" w:hAnsi="仿宋" w:eastAsia="仿宋"/>
          <w:sz w:val="32"/>
          <w:szCs w:val="32"/>
        </w:rPr>
        <w:t>纳入本部门（单位）预算编制范围的二级预算单位包括：</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嘉黎镇小学</w:t>
      </w:r>
      <w:r>
        <w:rPr>
          <w:rFonts w:hint="eastAsia" w:ascii="方正小标宋简体" w:hAnsi="仿宋" w:eastAsia="方正小标宋简体"/>
          <w:sz w:val="32"/>
          <w:szCs w:val="32"/>
        </w:rPr>
        <w:t>（部门/单位）202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jc w:val="both"/>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嘉黎镇小学</w:t>
      </w:r>
      <w:r>
        <w:rPr>
          <w:rFonts w:hint="eastAsia" w:ascii="方正小标宋简体" w:hAnsi="仿宋" w:eastAsia="方正小标宋简体"/>
          <w:sz w:val="32"/>
          <w:szCs w:val="32"/>
        </w:rPr>
        <w:t>（部门/单位）202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lang w:val="en-US" w:eastAsia="zh-CN"/>
        </w:rPr>
        <w:t>1078.49</w:t>
      </w:r>
      <w:r>
        <w:rPr>
          <w:rFonts w:hint="eastAsia" w:ascii="仿宋" w:hAnsi="仿宋" w:eastAsia="仿宋"/>
          <w:sz w:val="32"/>
          <w:szCs w:val="32"/>
        </w:rPr>
        <w:t>万元。收入包括：一般公共预算拨款收入</w:t>
      </w:r>
      <w:r>
        <w:rPr>
          <w:rFonts w:hint="eastAsia" w:ascii="仿宋" w:hAnsi="仿宋" w:eastAsia="仿宋"/>
          <w:sz w:val="32"/>
          <w:szCs w:val="32"/>
          <w:lang w:eastAsia="zh-CN"/>
        </w:rPr>
        <w:t>，上年结转收入</w:t>
      </w:r>
      <w:r>
        <w:rPr>
          <w:rFonts w:hint="eastAsia" w:ascii="仿宋" w:hAnsi="仿宋" w:eastAsia="仿宋"/>
          <w:sz w:val="32"/>
          <w:szCs w:val="32"/>
        </w:rPr>
        <w:t>；支出包括：教育支出、社会保障和就业支出、卫生健康支出、住房保障支出。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lang w:val="en-US" w:eastAsia="zh-CN"/>
        </w:rPr>
        <w:t>1078.49</w:t>
      </w:r>
      <w:r>
        <w:rPr>
          <w:rFonts w:hint="eastAsia" w:ascii="仿宋" w:hAnsi="仿宋" w:eastAsia="仿宋"/>
          <w:sz w:val="32"/>
          <w:szCs w:val="32"/>
        </w:rPr>
        <w:t>万元，同比</w:t>
      </w:r>
      <w:r>
        <w:rPr>
          <w:rFonts w:hint="eastAsia" w:ascii="仿宋" w:hAnsi="仿宋" w:eastAsia="仿宋"/>
          <w:sz w:val="32"/>
          <w:szCs w:val="32"/>
          <w:lang w:val="en-US" w:eastAsia="zh-CN"/>
        </w:rPr>
        <w:t>增加145.99</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人员增加等</w:t>
      </w:r>
      <w:r>
        <w:rPr>
          <w:rFonts w:hint="eastAsia" w:ascii="仿宋" w:hAnsi="仿宋" w:eastAsia="仿宋"/>
          <w:sz w:val="32"/>
          <w:szCs w:val="32"/>
        </w:rPr>
        <w:t>。其中：2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1021.63</w:t>
      </w:r>
      <w:r>
        <w:rPr>
          <w:rFonts w:hint="eastAsia" w:ascii="仿宋" w:hAnsi="仿宋" w:eastAsia="仿宋"/>
          <w:sz w:val="32"/>
          <w:szCs w:val="32"/>
        </w:rPr>
        <w:t>万元，占</w:t>
      </w:r>
      <w:r>
        <w:rPr>
          <w:rFonts w:hint="eastAsia" w:ascii="仿宋" w:hAnsi="仿宋" w:eastAsia="仿宋"/>
          <w:sz w:val="32"/>
          <w:szCs w:val="32"/>
          <w:u w:val="single"/>
          <w:lang w:val="en-US" w:eastAsia="zh-CN"/>
        </w:rPr>
        <w:t>94.73</w:t>
      </w:r>
      <w:r>
        <w:rPr>
          <w:rFonts w:hint="eastAsia" w:ascii="仿宋" w:hAnsi="仿宋" w:eastAsia="仿宋"/>
          <w:sz w:val="32"/>
          <w:szCs w:val="32"/>
        </w:rPr>
        <w:t>%</w:t>
      </w:r>
      <w:r>
        <w:rPr>
          <w:rFonts w:hint="eastAsia" w:ascii="仿宋" w:hAnsi="仿宋" w:eastAsia="仿宋"/>
          <w:sz w:val="32"/>
          <w:szCs w:val="32"/>
          <w:lang w:eastAsia="zh-CN"/>
        </w:rPr>
        <w:t>，上年结转收入</w:t>
      </w:r>
      <w:r>
        <w:rPr>
          <w:rFonts w:hint="eastAsia" w:ascii="仿宋" w:hAnsi="仿宋" w:eastAsia="仿宋"/>
          <w:sz w:val="32"/>
          <w:szCs w:val="32"/>
          <w:lang w:val="en-US" w:eastAsia="zh-CN"/>
        </w:rPr>
        <w:t>56.86万元，占5.27%</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lang w:val="en-US" w:eastAsia="zh-CN"/>
        </w:rPr>
        <w:t>1078.49</w:t>
      </w:r>
      <w:r>
        <w:rPr>
          <w:rFonts w:hint="eastAsia" w:ascii="仿宋" w:hAnsi="仿宋" w:eastAsia="仿宋"/>
          <w:sz w:val="32"/>
          <w:szCs w:val="32"/>
        </w:rPr>
        <w:t>万元，同比</w:t>
      </w:r>
      <w:r>
        <w:rPr>
          <w:rFonts w:hint="eastAsia" w:ascii="仿宋" w:hAnsi="仿宋" w:eastAsia="仿宋"/>
          <w:sz w:val="32"/>
          <w:szCs w:val="32"/>
          <w:lang w:val="en-US" w:eastAsia="zh-CN"/>
        </w:rPr>
        <w:t>增加145.99</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人员增加等</w:t>
      </w:r>
      <w:r>
        <w:rPr>
          <w:rFonts w:hint="eastAsia" w:ascii="仿宋" w:hAnsi="仿宋" w:eastAsia="仿宋"/>
          <w:sz w:val="32"/>
          <w:szCs w:val="32"/>
        </w:rPr>
        <w:t>。其中：基本支出</w:t>
      </w:r>
      <w:r>
        <w:rPr>
          <w:rFonts w:hint="eastAsia" w:ascii="仿宋" w:hAnsi="仿宋" w:eastAsia="仿宋"/>
          <w:sz w:val="32"/>
          <w:szCs w:val="32"/>
          <w:u w:val="single"/>
          <w:lang w:val="en-US" w:eastAsia="zh-CN"/>
        </w:rPr>
        <w:t>1078.49</w:t>
      </w:r>
      <w:r>
        <w:rPr>
          <w:rFonts w:hint="eastAsia" w:ascii="仿宋" w:hAnsi="仿宋" w:eastAsia="仿宋"/>
          <w:sz w:val="32"/>
          <w:szCs w:val="32"/>
        </w:rPr>
        <w:t>万元，占</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1078.49</w:t>
      </w:r>
      <w:r>
        <w:rPr>
          <w:rFonts w:hint="eastAsia" w:ascii="仿宋" w:hAnsi="仿宋" w:eastAsia="仿宋"/>
          <w:sz w:val="32"/>
          <w:szCs w:val="32"/>
        </w:rPr>
        <w:t>万元，同比</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145.99</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人员增加等</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1021.63</w:t>
      </w:r>
      <w:r>
        <w:rPr>
          <w:rFonts w:hint="eastAsia" w:ascii="仿宋" w:hAnsi="仿宋" w:eastAsia="仿宋"/>
          <w:sz w:val="32"/>
          <w:szCs w:val="32"/>
        </w:rPr>
        <w:t>万元</w:t>
      </w:r>
      <w:r>
        <w:rPr>
          <w:rFonts w:hint="eastAsia" w:ascii="仿宋" w:hAnsi="仿宋" w:eastAsia="仿宋"/>
          <w:sz w:val="32"/>
          <w:szCs w:val="32"/>
          <w:lang w:eastAsia="zh-CN"/>
        </w:rPr>
        <w:t>，上年结转收入</w:t>
      </w:r>
      <w:r>
        <w:rPr>
          <w:rFonts w:hint="eastAsia" w:ascii="仿宋" w:hAnsi="仿宋" w:eastAsia="仿宋"/>
          <w:sz w:val="32"/>
          <w:szCs w:val="32"/>
          <w:lang w:val="en-US" w:eastAsia="zh-CN"/>
        </w:rPr>
        <w:t>56.86万元</w:t>
      </w:r>
      <w:r>
        <w:rPr>
          <w:rFonts w:hint="eastAsia" w:ascii="仿宋" w:hAnsi="仿宋" w:eastAsia="仿宋"/>
          <w:sz w:val="32"/>
          <w:szCs w:val="32"/>
        </w:rPr>
        <w:t>；支出包括：教育支出</w:t>
      </w:r>
      <w:r>
        <w:rPr>
          <w:rFonts w:hint="eastAsia" w:ascii="仿宋" w:hAnsi="仿宋" w:eastAsia="仿宋"/>
          <w:sz w:val="32"/>
          <w:szCs w:val="32"/>
          <w:u w:val="single"/>
          <w:lang w:val="en-US" w:eastAsia="zh-CN"/>
        </w:rPr>
        <w:t>939.53</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77.82</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4.08</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57.07</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lang w:val="en-US" w:eastAsia="zh-CN"/>
        </w:rPr>
        <w:t>1078.49</w:t>
      </w:r>
      <w:r>
        <w:rPr>
          <w:rFonts w:hint="eastAsia" w:ascii="仿宋" w:hAnsi="仿宋" w:eastAsia="仿宋"/>
          <w:sz w:val="32"/>
          <w:szCs w:val="32"/>
        </w:rPr>
        <w:t>万元,比</w:t>
      </w:r>
      <w:r>
        <w:rPr>
          <w:rFonts w:hint="eastAsia" w:ascii="仿宋" w:hAnsi="仿宋" w:eastAsia="仿宋"/>
          <w:sz w:val="32"/>
          <w:szCs w:val="32"/>
          <w:lang w:val="en-US" w:eastAsia="zh-CN"/>
        </w:rPr>
        <w:t>2024</w:t>
      </w:r>
      <w:r>
        <w:rPr>
          <w:rFonts w:hint="eastAsia" w:ascii="仿宋" w:hAnsi="仿宋" w:eastAsia="仿宋"/>
          <w:sz w:val="32"/>
          <w:szCs w:val="32"/>
        </w:rPr>
        <w:t xml:space="preserve"> 年执行数</w:t>
      </w:r>
      <w:r>
        <w:rPr>
          <w:rFonts w:hint="eastAsia" w:ascii="仿宋" w:hAnsi="仿宋" w:eastAsia="仿宋"/>
          <w:sz w:val="32"/>
          <w:szCs w:val="32"/>
          <w:lang w:val="en-US" w:eastAsia="zh-CN"/>
        </w:rPr>
        <w:t>减少</w:t>
      </w:r>
      <w:r>
        <w:rPr>
          <w:rFonts w:hint="eastAsia" w:ascii="仿宋" w:hAnsi="仿宋" w:eastAsia="仿宋"/>
          <w:sz w:val="32"/>
          <w:szCs w:val="32"/>
          <w:u w:val="single"/>
          <w:lang w:val="en-US" w:eastAsia="zh-CN"/>
        </w:rPr>
        <w:t>530.58</w:t>
      </w:r>
      <w:r>
        <w:rPr>
          <w:rFonts w:hint="eastAsia" w:ascii="仿宋" w:hAnsi="仿宋" w:eastAsia="仿宋"/>
          <w:sz w:val="32"/>
          <w:szCs w:val="32"/>
        </w:rPr>
        <w:t>万元，主要原因：</w:t>
      </w:r>
      <w:r>
        <w:rPr>
          <w:rFonts w:hint="eastAsia" w:ascii="仿宋" w:hAnsi="仿宋" w:eastAsia="仿宋"/>
          <w:sz w:val="32"/>
          <w:szCs w:val="32"/>
          <w:u w:val="single"/>
          <w:lang w:val="en-US" w:eastAsia="zh-CN"/>
        </w:rPr>
        <w:t>项目、人员减少等原因</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1078.49</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教育支出</w:t>
      </w:r>
      <w:r>
        <w:rPr>
          <w:rFonts w:hint="eastAsia" w:ascii="仿宋" w:hAnsi="仿宋" w:eastAsia="仿宋"/>
          <w:sz w:val="32"/>
          <w:szCs w:val="32"/>
          <w:u w:val="single"/>
          <w:lang w:val="en-US" w:eastAsia="zh-CN"/>
        </w:rPr>
        <w:t>939.53</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占87.12%</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77.82</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占7.2%</w:t>
      </w:r>
      <w:r>
        <w:rPr>
          <w:rFonts w:hint="eastAsia" w:ascii="仿宋" w:hAnsi="仿宋" w:eastAsia="仿宋"/>
          <w:sz w:val="32"/>
          <w:szCs w:val="32"/>
        </w:rPr>
        <w:t>、卫生健康支出</w:t>
      </w:r>
      <w:r>
        <w:rPr>
          <w:rFonts w:hint="eastAsia" w:ascii="仿宋" w:hAnsi="仿宋" w:eastAsia="仿宋"/>
          <w:sz w:val="32"/>
          <w:szCs w:val="32"/>
          <w:u w:val="single"/>
          <w:lang w:val="en-US" w:eastAsia="zh-CN"/>
        </w:rPr>
        <w:t>4.08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占0.38%</w:t>
      </w:r>
      <w:r>
        <w:rPr>
          <w:rFonts w:hint="eastAsia" w:ascii="仿宋" w:hAnsi="仿宋" w:eastAsia="仿宋"/>
          <w:sz w:val="32"/>
          <w:szCs w:val="32"/>
        </w:rPr>
        <w:t>、住房保障支出</w:t>
      </w:r>
      <w:r>
        <w:rPr>
          <w:rFonts w:hint="eastAsia" w:ascii="仿宋" w:hAnsi="仿宋" w:eastAsia="仿宋"/>
          <w:sz w:val="32"/>
          <w:szCs w:val="32"/>
          <w:u w:val="single"/>
          <w:lang w:val="en-US" w:eastAsia="zh-CN"/>
        </w:rPr>
        <w:t>57.07</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占5.3%</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numPr>
          <w:ilvl w:val="0"/>
          <w:numId w:val="1"/>
        </w:numPr>
        <w:ind w:firstLine="640" w:firstLineChars="200"/>
        <w:rPr>
          <w:rFonts w:ascii="仿宋" w:hAnsi="仿宋" w:eastAsia="仿宋"/>
          <w:sz w:val="32"/>
          <w:szCs w:val="32"/>
        </w:rPr>
      </w:pPr>
      <w:r>
        <w:rPr>
          <w:rFonts w:hint="eastAsia" w:ascii="仿宋" w:hAnsi="仿宋" w:eastAsia="仿宋"/>
          <w:sz w:val="32"/>
          <w:szCs w:val="32"/>
        </w:rPr>
        <w:t>一般公共服务支出（类）财政事务（款）行政运行（项）预算数为</w:t>
      </w:r>
      <w:r>
        <w:rPr>
          <w:rFonts w:hint="eastAsia" w:ascii="仿宋" w:hAnsi="仿宋" w:eastAsia="仿宋"/>
          <w:sz w:val="32"/>
          <w:szCs w:val="32"/>
          <w:u w:val="single"/>
          <w:lang w:val="en-US" w:eastAsia="zh-CN"/>
        </w:rPr>
        <w:t>1078.49</w:t>
      </w:r>
      <w:r>
        <w:rPr>
          <w:rFonts w:hint="eastAsia" w:ascii="仿宋" w:hAnsi="仿宋" w:eastAsia="仿宋"/>
          <w:sz w:val="32"/>
          <w:szCs w:val="32"/>
        </w:rPr>
        <w:t>万元，比</w:t>
      </w:r>
      <w:r>
        <w:rPr>
          <w:rFonts w:hint="eastAsia" w:ascii="仿宋" w:hAnsi="仿宋" w:eastAsia="仿宋"/>
          <w:sz w:val="32"/>
          <w:szCs w:val="32"/>
          <w:lang w:val="en-US" w:eastAsia="zh-CN"/>
        </w:rPr>
        <w:t>2024</w:t>
      </w:r>
      <w:r>
        <w:rPr>
          <w:rFonts w:hint="eastAsia" w:ascii="仿宋" w:hAnsi="仿宋" w:eastAsia="仿宋"/>
          <w:sz w:val="32"/>
          <w:szCs w:val="32"/>
        </w:rPr>
        <w:t>年执行数</w:t>
      </w:r>
      <w:r>
        <w:rPr>
          <w:rFonts w:hint="eastAsia" w:ascii="仿宋" w:hAnsi="仿宋" w:eastAsia="仿宋"/>
          <w:sz w:val="32"/>
          <w:szCs w:val="32"/>
          <w:lang w:val="en-US" w:eastAsia="zh-CN"/>
        </w:rPr>
        <w:t>减少530.58</w:t>
      </w:r>
      <w:r>
        <w:rPr>
          <w:rFonts w:hint="eastAsia" w:ascii="仿宋" w:hAnsi="仿宋" w:eastAsia="仿宋"/>
          <w:sz w:val="32"/>
          <w:szCs w:val="32"/>
        </w:rPr>
        <w:t>万元，</w:t>
      </w:r>
      <w:r>
        <w:rPr>
          <w:rFonts w:hint="eastAsia" w:ascii="仿宋" w:hAnsi="仿宋" w:eastAsia="仿宋"/>
          <w:sz w:val="32"/>
          <w:szCs w:val="32"/>
          <w:lang w:val="en-US" w:eastAsia="zh-CN"/>
        </w:rPr>
        <w:t>减少49.2</w:t>
      </w:r>
      <w:r>
        <w:rPr>
          <w:rFonts w:hint="eastAsia" w:ascii="仿宋" w:hAnsi="仿宋" w:eastAsia="仿宋"/>
          <w:sz w:val="32"/>
          <w:szCs w:val="32"/>
        </w:rPr>
        <w:t>%。主要是</w:t>
      </w:r>
      <w:r>
        <w:rPr>
          <w:rFonts w:hint="eastAsia" w:ascii="仿宋" w:hAnsi="仿宋" w:eastAsia="仿宋"/>
          <w:sz w:val="32"/>
          <w:szCs w:val="32"/>
          <w:lang w:eastAsia="zh-CN"/>
        </w:rPr>
        <w:t>我校</w:t>
      </w:r>
      <w:r>
        <w:rPr>
          <w:rFonts w:hint="eastAsia" w:ascii="仿宋" w:hAnsi="仿宋" w:eastAsia="仿宋"/>
          <w:sz w:val="32"/>
          <w:szCs w:val="32"/>
          <w:u w:val="single"/>
          <w:lang w:val="en-US" w:eastAsia="zh-CN"/>
        </w:rPr>
        <w:t>项目、人员减少等原因</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2.一般公共服务支出（类）财政事务（款）一般行政管理事务（项）预算数为</w:t>
      </w:r>
      <w:r>
        <w:rPr>
          <w:rFonts w:hint="eastAsia" w:ascii="仿宋" w:hAnsi="仿宋" w:eastAsia="仿宋"/>
          <w:sz w:val="32"/>
          <w:szCs w:val="32"/>
          <w:u w:val="single"/>
          <w:lang w:val="en-US" w:eastAsia="zh-CN"/>
        </w:rPr>
        <w:t>0</w:t>
      </w:r>
      <w:r>
        <w:rPr>
          <w:rFonts w:hint="eastAsia" w:ascii="仿宋" w:hAnsi="仿宋" w:eastAsia="仿宋"/>
          <w:sz w:val="32"/>
          <w:szCs w:val="32"/>
        </w:rPr>
        <w:t>万元，比20</w:t>
      </w:r>
      <w:r>
        <w:rPr>
          <w:rFonts w:hint="eastAsia" w:ascii="仿宋" w:hAnsi="仿宋" w:eastAsia="仿宋"/>
          <w:sz w:val="32"/>
          <w:szCs w:val="32"/>
          <w:lang w:val="en-US" w:eastAsia="zh-CN"/>
        </w:rPr>
        <w:t>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0</w:t>
      </w:r>
      <w:r>
        <w:rPr>
          <w:rFonts w:hint="eastAsia" w:ascii="仿宋" w:hAnsi="仿宋" w:eastAsia="仿宋"/>
          <w:sz w:val="32"/>
          <w:szCs w:val="32"/>
        </w:rPr>
        <w:t xml:space="preserve"> %。主要是</w:t>
      </w:r>
      <w:r>
        <w:rPr>
          <w:rFonts w:hint="eastAsia" w:ascii="仿宋" w:hAnsi="仿宋" w:eastAsia="仿宋"/>
          <w:sz w:val="32"/>
          <w:szCs w:val="32"/>
          <w:lang w:eastAsia="zh-CN"/>
        </w:rPr>
        <w:t>不涉及部门预算。</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1078.49</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1005</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69.04</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lang w:eastAsia="zh-CN"/>
        </w:rPr>
        <w:t>、生均公用经费等</w:t>
      </w:r>
      <w:r>
        <w:rPr>
          <w:rFonts w:hint="eastAsia" w:ascii="仿宋" w:hAnsi="仿宋" w:eastAsia="仿宋"/>
          <w:sz w:val="32"/>
          <w:szCs w:val="32"/>
        </w:rPr>
        <w:t>。</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项目4.45万元。</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lang w:val="en-US" w:eastAsia="zh-CN"/>
        </w:rPr>
        <w:t>0</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年增加</w:t>
      </w:r>
      <w:r>
        <w:rPr>
          <w:rFonts w:hint="eastAsia" w:ascii="仿宋" w:hAnsi="仿宋" w:eastAsia="仿宋"/>
          <w:sz w:val="32"/>
          <w:szCs w:val="32"/>
          <w:u w:val="single"/>
          <w:lang w:val="en-US" w:eastAsia="zh-CN"/>
        </w:rPr>
        <w:t>0</w:t>
      </w:r>
      <w:r>
        <w:rPr>
          <w:rFonts w:hint="eastAsia" w:ascii="仿宋" w:hAnsi="仿宋" w:eastAsia="仿宋"/>
          <w:sz w:val="32"/>
          <w:szCs w:val="32"/>
        </w:rPr>
        <w:t>万元，增长</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lang w:val="en-US" w:eastAsia="zh-CN"/>
        </w:rPr>
        <w:t>无需求</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万元，主要原因：我部门（单位）202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（没有数据的表格应当列出空表并说明“我部门（单位）2024年度没有政府性基金安排的支出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lang w:eastAsia="zh-CN"/>
        </w:rPr>
        <w:t>九</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年部门（单位）机关</w:t>
      </w:r>
      <w:r>
        <w:rPr>
          <w:rFonts w:hint="eastAsia" w:ascii="仿宋" w:hAnsi="仿宋" w:eastAsia="仿宋"/>
          <w:sz w:val="32"/>
          <w:szCs w:val="32"/>
          <w:lang w:eastAsia="zh-CN"/>
        </w:rPr>
        <w:t>嘉黎县</w:t>
      </w:r>
      <w:r>
        <w:rPr>
          <w:rFonts w:hint="eastAsia" w:ascii="仿宋" w:hAnsi="仿宋" w:eastAsia="仿宋"/>
          <w:sz w:val="32"/>
          <w:szCs w:val="32"/>
          <w:lang w:val="en-US" w:eastAsia="zh-CN"/>
        </w:rPr>
        <w:t>嘉黎镇小学</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家事业单位的机关运行经费财政拨款预算</w:t>
      </w:r>
      <w:r>
        <w:rPr>
          <w:rFonts w:hint="eastAsia" w:ascii="仿宋" w:hAnsi="仿宋" w:eastAsia="仿宋"/>
          <w:sz w:val="32"/>
          <w:szCs w:val="32"/>
          <w:lang w:val="en-US" w:eastAsia="zh-CN"/>
        </w:rPr>
        <w:t>69.04</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年预算增加</w:t>
      </w:r>
      <w:r>
        <w:rPr>
          <w:rFonts w:hint="eastAsia" w:ascii="仿宋_GB2312" w:eastAsia="仿宋_GB2312" w:cs="仿宋_GB2312" w:hAnsiTheme="minorHAnsi"/>
          <w:kern w:val="0"/>
          <w:sz w:val="32"/>
          <w:szCs w:val="32"/>
          <w:u w:val="single"/>
          <w:lang w:val="en-US" w:eastAsia="zh-CN"/>
        </w:rPr>
        <w:t>27.64</w:t>
      </w:r>
      <w:r>
        <w:rPr>
          <w:rFonts w:hint="eastAsia" w:ascii="仿宋" w:hAnsi="仿宋" w:eastAsia="仿宋"/>
          <w:sz w:val="32"/>
          <w:szCs w:val="32"/>
        </w:rPr>
        <w:t>万元，增长</w:t>
      </w:r>
      <w:r>
        <w:rPr>
          <w:rFonts w:hint="eastAsia" w:ascii="仿宋" w:hAnsi="仿宋" w:eastAsia="仿宋"/>
          <w:sz w:val="32"/>
          <w:szCs w:val="32"/>
          <w:lang w:val="en-US" w:eastAsia="zh-CN"/>
        </w:rPr>
        <w:t>40.03</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hint="eastAsia" w:ascii="仿宋_GB2312" w:eastAsia="仿宋_GB2312" w:cs="仿宋_GB2312" w:hAnsiTheme="minorHAnsi"/>
          <w:kern w:val="0"/>
          <w:sz w:val="32"/>
          <w:szCs w:val="32"/>
          <w:u w:val="single"/>
          <w:lang w:val="en-US" w:eastAsia="zh-CN"/>
        </w:rPr>
        <w:t>单位用氧经费增加等</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ascii="仿宋" w:hAnsi="仿宋" w:eastAsia="仿宋"/>
          <w:sz w:val="32"/>
          <w:szCs w:val="32"/>
        </w:rPr>
        <w:t>2024</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（四）2024年预算绩效情况说明。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2024年实现财政支出绩效目标管理全覆盖，实行绩效目标管理</w:t>
      </w:r>
      <w:r>
        <w:rPr>
          <w:rFonts w:hint="eastAsia" w:ascii="仿宋" w:hAnsi="仿宋" w:eastAsia="仿宋"/>
          <w:sz w:val="32"/>
          <w:szCs w:val="32"/>
          <w:lang w:val="en-US" w:eastAsia="zh-CN"/>
        </w:rPr>
        <w:t>22</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1078.49</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1078.49</w:t>
      </w:r>
      <w:bookmarkStart w:id="0" w:name="_GoBack"/>
      <w:bookmarkEnd w:id="0"/>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我校无扶贫资金</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r>
        <w:rPr>
          <w:rFonts w:hint="eastAsia" w:ascii="仿宋" w:hAnsi="仿宋" w:eastAsia="仿宋"/>
          <w:sz w:val="32"/>
          <w:szCs w:val="32"/>
          <w:lang w:eastAsia="zh-CN"/>
        </w:rPr>
        <w:t>我校无政府债务。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decorative"/>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699B31"/>
    <w:multiLevelType w:val="singleLevel"/>
    <w:tmpl w:val="E4699B3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ZTI2ZGQzZGFkZmE3NDM0NmYwYjFiNDVhOThkZD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7113E9A"/>
    <w:rsid w:val="080B3940"/>
    <w:rsid w:val="0D037CEA"/>
    <w:rsid w:val="0EDB09C2"/>
    <w:rsid w:val="16536837"/>
    <w:rsid w:val="179B1D58"/>
    <w:rsid w:val="1809588C"/>
    <w:rsid w:val="1D3B61E5"/>
    <w:rsid w:val="23CE29BB"/>
    <w:rsid w:val="2D7E1675"/>
    <w:rsid w:val="38236951"/>
    <w:rsid w:val="39B117AE"/>
    <w:rsid w:val="39D37D7B"/>
    <w:rsid w:val="3A2F29F8"/>
    <w:rsid w:val="459D5443"/>
    <w:rsid w:val="473462B2"/>
    <w:rsid w:val="493B49B5"/>
    <w:rsid w:val="49A14359"/>
    <w:rsid w:val="49EA5324"/>
    <w:rsid w:val="4A847483"/>
    <w:rsid w:val="5052484C"/>
    <w:rsid w:val="52F72E02"/>
    <w:rsid w:val="56860E31"/>
    <w:rsid w:val="574631ED"/>
    <w:rsid w:val="734F4B47"/>
    <w:rsid w:val="73763C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13</TotalTime>
  <ScaleCrop>false</ScaleCrop>
  <LinksUpToDate>false</LinksUpToDate>
  <CharactersWithSpaces>4729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2025-01-27T04:47:41Z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5B7D168C2BCA42F9A2F0E826FFC35EAD_12</vt:lpwstr>
  </property>
</Properties>
</file>