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w:t>
      </w:r>
      <w:r>
        <w:rPr>
          <w:rFonts w:hint="eastAsia" w:ascii="方正小标宋简体" w:hAnsi="仿宋" w:eastAsia="方正小标宋简体"/>
          <w:sz w:val="44"/>
          <w:szCs w:val="44"/>
          <w:lang w:val="en-US" w:eastAsia="zh-CN"/>
        </w:rPr>
        <w:t>尼屋乡幼儿园</w:t>
      </w:r>
      <w:r>
        <w:rPr>
          <w:rFonts w:hint="eastAsia" w:ascii="方正小标宋简体" w:hAnsi="仿宋" w:eastAsia="方正小标宋简体"/>
          <w:sz w:val="44"/>
          <w:szCs w:val="44"/>
        </w:rPr>
        <w:t>（部门/单位）202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年度部门（单位）预算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color w:val="0000FF"/>
          <w:sz w:val="32"/>
          <w:szCs w:val="32"/>
        </w:rPr>
      </w:pPr>
    </w:p>
    <w:p>
      <w:pPr>
        <w:jc w:val="center"/>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w:t>
      </w:r>
      <w:r>
        <w:rPr>
          <w:rFonts w:hint="eastAsia" w:ascii="仿宋" w:hAnsi="仿宋" w:eastAsia="仿宋"/>
          <w:color w:val="000000" w:themeColor="text1"/>
          <w:sz w:val="32"/>
          <w:szCs w:val="32"/>
          <w14:textFill>
            <w14:solidFill>
              <w14:schemeClr w14:val="tx1"/>
            </w14:solidFill>
          </w14:textFill>
        </w:rPr>
        <w:t>年</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 xml:space="preserve">月 </w:t>
      </w:r>
      <w:r>
        <w:rPr>
          <w:rFonts w:hint="eastAsia" w:ascii="仿宋" w:hAnsi="仿宋" w:eastAsia="仿宋"/>
          <w:color w:val="000000" w:themeColor="text1"/>
          <w:sz w:val="32"/>
          <w:szCs w:val="32"/>
          <w:lang w:val="en-US" w:eastAsia="zh-CN"/>
          <w14:textFill>
            <w14:solidFill>
              <w14:schemeClr w14:val="tx1"/>
            </w14:solidFill>
          </w14:textFill>
        </w:rPr>
        <w:t>25</w:t>
      </w:r>
      <w:r>
        <w:rPr>
          <w:rFonts w:hint="eastAsia" w:ascii="仿宋" w:hAnsi="仿宋" w:eastAsia="仿宋"/>
          <w:color w:val="000000" w:themeColor="text1"/>
          <w:sz w:val="32"/>
          <w:szCs w:val="32"/>
          <w14:textFill>
            <w14:solidFill>
              <w14:schemeClr w14:val="tx1"/>
            </w14:solidFill>
          </w14:textFill>
        </w:rPr>
        <w:t>日</w:t>
      </w:r>
    </w:p>
    <w:p>
      <w:pPr>
        <w:jc w:val="center"/>
        <w:rPr>
          <w:rFonts w:hint="eastAsia" w:ascii="仿宋" w:hAnsi="仿宋" w:eastAsia="仿宋"/>
          <w:color w:val="000000" w:themeColor="text1"/>
          <w:sz w:val="32"/>
          <w:szCs w:val="32"/>
          <w14:textFill>
            <w14:solidFill>
              <w14:schemeClr w14:val="tx1"/>
            </w14:solidFill>
          </w14:textFill>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尼屋乡幼儿园</w:t>
      </w:r>
      <w:r>
        <w:rPr>
          <w:rFonts w:hint="eastAsia" w:ascii="方正小标宋简体" w:hAnsi="仿宋" w:eastAsia="方正小标宋简体"/>
          <w:sz w:val="32"/>
          <w:szCs w:val="32"/>
        </w:rPr>
        <w:t>（部门/单位）概况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尼屋乡幼儿园</w:t>
      </w:r>
      <w:r>
        <w:rPr>
          <w:rFonts w:hint="eastAsia" w:ascii="方正小标宋简体" w:hAnsi="仿宋" w:eastAsia="方正小标宋简体"/>
          <w:sz w:val="32"/>
          <w:szCs w:val="32"/>
        </w:rPr>
        <w:t>（部门/单位）部门（单位）预算明细表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尼屋乡幼儿园</w:t>
      </w:r>
      <w:r>
        <w:rPr>
          <w:rFonts w:hint="eastAsia" w:ascii="方正小标宋简体" w:hAnsi="仿宋" w:eastAsia="方正小标宋简体"/>
          <w:sz w:val="32"/>
          <w:szCs w:val="32"/>
        </w:rPr>
        <w:t>（部门/单位）部门（单位）预算数据分析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尼屋乡幼儿园</w:t>
      </w:r>
      <w:r>
        <w:rPr>
          <w:rFonts w:hint="eastAsia" w:ascii="方正小标宋简体" w:hAnsi="仿宋" w:eastAsia="方正小标宋简体"/>
          <w:sz w:val="32"/>
          <w:szCs w:val="32"/>
        </w:rPr>
        <w:t>（部门/单位）概况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r>
        <w:rPr>
          <w:rFonts w:hint="eastAsia" w:ascii="仿宋" w:hAnsi="仿宋" w:eastAsia="仿宋"/>
          <w:sz w:val="32"/>
          <w:szCs w:val="32"/>
          <w:lang w:eastAsia="zh-CN"/>
        </w:rPr>
        <w:t>我校无独立的三定方案。</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尼屋乡幼儿园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both"/>
        <w:rPr>
          <w:rFonts w:hint="eastAsia" w:ascii="黑体" w:hAnsi="黑体" w:eastAsia="黑体"/>
          <w:sz w:val="32"/>
          <w:szCs w:val="32"/>
        </w:rPr>
      </w:pPr>
    </w:p>
    <w:p>
      <w:pPr>
        <w:jc w:val="both"/>
        <w:rPr>
          <w:rFonts w:hint="eastAsia" w:ascii="黑体" w:hAnsi="黑体" w:eastAsia="黑体"/>
          <w:sz w:val="32"/>
          <w:szCs w:val="32"/>
        </w:rPr>
      </w:pPr>
    </w:p>
    <w:p>
      <w:pPr>
        <w:jc w:val="both"/>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w:t>
      </w:r>
      <w:r>
        <w:rPr>
          <w:rFonts w:hint="eastAsia" w:ascii="方正小标宋简体" w:hAnsi="仿宋" w:eastAsia="方正小标宋简体"/>
          <w:sz w:val="32"/>
          <w:szCs w:val="32"/>
          <w:lang w:val="en-US" w:eastAsia="zh-CN"/>
        </w:rPr>
        <w:t>尼屋乡幼儿园</w:t>
      </w:r>
      <w:r>
        <w:rPr>
          <w:rFonts w:hint="eastAsia" w:ascii="方正小标宋简体" w:hAnsi="仿宋" w:eastAsia="方正小标宋简体"/>
          <w:sz w:val="32"/>
          <w:szCs w:val="32"/>
        </w:rPr>
        <w:t>（部门/单位）202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263.18</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；支出包括：教育支出、社会保障和就业支出、卫生健康支出、住房保障支出。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263.18</w:t>
      </w:r>
      <w:r>
        <w:rPr>
          <w:rFonts w:hint="eastAsia" w:ascii="仿宋" w:hAnsi="仿宋" w:eastAsia="仿宋"/>
          <w:sz w:val="32"/>
          <w:szCs w:val="32"/>
        </w:rPr>
        <w:t>万元，同比增加</w:t>
      </w:r>
      <w:r>
        <w:rPr>
          <w:rFonts w:hint="eastAsia" w:ascii="仿宋" w:hAnsi="仿宋" w:eastAsia="仿宋"/>
          <w:sz w:val="32"/>
          <w:szCs w:val="32"/>
          <w:lang w:val="en-US" w:eastAsia="zh-CN"/>
        </w:rPr>
        <w:t>121.17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rPr>
        <w:t>。其中：2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260.06</w:t>
      </w:r>
      <w:r>
        <w:rPr>
          <w:rFonts w:hint="eastAsia" w:ascii="仿宋" w:hAnsi="仿宋" w:eastAsia="仿宋"/>
          <w:sz w:val="32"/>
          <w:szCs w:val="32"/>
        </w:rPr>
        <w:t>万元，占</w:t>
      </w:r>
      <w:r>
        <w:rPr>
          <w:rFonts w:hint="eastAsia" w:ascii="仿宋" w:hAnsi="仿宋" w:eastAsia="仿宋"/>
          <w:sz w:val="32"/>
          <w:szCs w:val="32"/>
          <w:u w:val="single"/>
          <w:lang w:val="en-US" w:eastAsia="zh-CN"/>
        </w:rPr>
        <w:t>98.81</w:t>
      </w:r>
      <w:r>
        <w:rPr>
          <w:rFonts w:hint="eastAsia" w:ascii="仿宋" w:hAnsi="仿宋" w:eastAsia="仿宋"/>
          <w:sz w:val="32"/>
          <w:szCs w:val="32"/>
        </w:rPr>
        <w:t xml:space="preserve"> %</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3.12万元，占1.19%</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263.18</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121.17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rPr>
        <w:t>。其中：基本支出</w:t>
      </w:r>
      <w:r>
        <w:rPr>
          <w:rFonts w:hint="eastAsia" w:ascii="仿宋" w:hAnsi="仿宋" w:eastAsia="仿宋"/>
          <w:sz w:val="32"/>
          <w:szCs w:val="32"/>
          <w:u w:val="single"/>
          <w:lang w:val="en-US" w:eastAsia="zh-CN"/>
        </w:rPr>
        <w:t>263.18</w:t>
      </w:r>
      <w:r>
        <w:rPr>
          <w:rFonts w:hint="eastAsia" w:ascii="仿宋" w:hAnsi="仿宋" w:eastAsia="仿宋"/>
          <w:sz w:val="32"/>
          <w:szCs w:val="32"/>
        </w:rPr>
        <w:t>万元，占</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lang w:val="en-US" w:eastAsia="zh-CN"/>
        </w:rPr>
        <w:t>0</w:t>
      </w:r>
      <w:r>
        <w:rPr>
          <w:rFonts w:hint="eastAsia" w:ascii="仿宋" w:hAnsi="仿宋" w:eastAsia="仿宋"/>
          <w:sz w:val="32"/>
          <w:szCs w:val="32"/>
        </w:rPr>
        <w:t>万元，占</w:t>
      </w:r>
      <w:r>
        <w:rPr>
          <w:rFonts w:hint="eastAsia" w:ascii="仿宋" w:hAnsi="仿宋" w:eastAsia="仿宋"/>
          <w:sz w:val="32"/>
          <w:szCs w:val="32"/>
          <w:u w:val="single"/>
          <w:lang w:val="en-US" w:eastAsia="zh-CN"/>
        </w:rPr>
        <w:t>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263.18</w:t>
      </w:r>
      <w:r>
        <w:rPr>
          <w:rFonts w:hint="eastAsia" w:ascii="仿宋" w:hAnsi="仿宋" w:eastAsia="仿宋"/>
          <w:sz w:val="32"/>
          <w:szCs w:val="32"/>
        </w:rPr>
        <w:t>万元，同比增加</w:t>
      </w:r>
      <w:r>
        <w:rPr>
          <w:rFonts w:hint="eastAsia" w:ascii="仿宋" w:hAnsi="仿宋" w:eastAsia="仿宋"/>
          <w:sz w:val="32"/>
          <w:szCs w:val="32"/>
          <w:u w:val="single"/>
          <w:lang w:val="en-US" w:eastAsia="zh-CN"/>
        </w:rPr>
        <w:t>121.17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val="en-US" w:eastAsia="zh-CN"/>
        </w:rPr>
        <w:t>人员增加、增资等</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lang w:val="en-US" w:eastAsia="zh-CN"/>
        </w:rPr>
        <w:t>260.06</w:t>
      </w:r>
      <w:r>
        <w:rPr>
          <w:rFonts w:hint="eastAsia" w:ascii="仿宋" w:hAnsi="仿宋" w:eastAsia="仿宋"/>
          <w:sz w:val="32"/>
          <w:szCs w:val="32"/>
        </w:rPr>
        <w:t>万元</w:t>
      </w:r>
      <w:r>
        <w:rPr>
          <w:rFonts w:hint="eastAsia" w:ascii="仿宋" w:hAnsi="仿宋" w:eastAsia="仿宋"/>
          <w:sz w:val="32"/>
          <w:szCs w:val="32"/>
          <w:lang w:eastAsia="zh-CN"/>
        </w:rPr>
        <w:t>，上年结转收入</w:t>
      </w:r>
      <w:r>
        <w:rPr>
          <w:rFonts w:hint="eastAsia" w:ascii="仿宋" w:hAnsi="仿宋" w:eastAsia="仿宋"/>
          <w:sz w:val="32"/>
          <w:szCs w:val="32"/>
          <w:lang w:val="en-US" w:eastAsia="zh-CN"/>
        </w:rPr>
        <w:t>3.12万元</w:t>
      </w:r>
      <w:r>
        <w:rPr>
          <w:rFonts w:hint="eastAsia" w:ascii="仿宋" w:hAnsi="仿宋" w:eastAsia="仿宋"/>
          <w:sz w:val="32"/>
          <w:szCs w:val="32"/>
        </w:rPr>
        <w:t>；支出包括：教育支出</w:t>
      </w:r>
      <w:r>
        <w:rPr>
          <w:rFonts w:hint="eastAsia" w:ascii="仿宋" w:hAnsi="仿宋" w:eastAsia="仿宋"/>
          <w:sz w:val="32"/>
          <w:szCs w:val="32"/>
          <w:u w:val="single"/>
          <w:lang w:val="en-US" w:eastAsia="zh-CN"/>
        </w:rPr>
        <w:t>237.66</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12.29</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5.38</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7.86</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263.18</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24.89</w:t>
      </w:r>
      <w:r>
        <w:rPr>
          <w:rFonts w:hint="eastAsia" w:ascii="仿宋" w:hAnsi="仿宋" w:eastAsia="仿宋"/>
          <w:sz w:val="32"/>
          <w:szCs w:val="32"/>
        </w:rPr>
        <w:t>万元，主要原因：</w:t>
      </w:r>
      <w:r>
        <w:rPr>
          <w:rFonts w:hint="eastAsia" w:ascii="仿宋" w:hAnsi="仿宋" w:eastAsia="仿宋"/>
          <w:sz w:val="32"/>
          <w:szCs w:val="32"/>
          <w:u w:val="single"/>
          <w:lang w:val="en-US" w:eastAsia="zh-CN"/>
        </w:rPr>
        <w:t>人员增加等</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263.18</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教育支出</w:t>
      </w:r>
      <w:r>
        <w:rPr>
          <w:rFonts w:hint="eastAsia" w:ascii="仿宋" w:hAnsi="仿宋" w:eastAsia="仿宋"/>
          <w:sz w:val="32"/>
          <w:szCs w:val="32"/>
          <w:u w:val="single"/>
          <w:lang w:val="en-US" w:eastAsia="zh-CN"/>
        </w:rPr>
        <w:t>237.66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占90.3%</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12.29</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占4.67%</w:t>
      </w:r>
      <w:r>
        <w:rPr>
          <w:rFonts w:hint="eastAsia" w:ascii="仿宋" w:hAnsi="仿宋" w:eastAsia="仿宋"/>
          <w:sz w:val="32"/>
          <w:szCs w:val="32"/>
        </w:rPr>
        <w:t>、卫生健康支出</w:t>
      </w:r>
      <w:r>
        <w:rPr>
          <w:rFonts w:hint="eastAsia" w:ascii="仿宋" w:hAnsi="仿宋" w:eastAsia="仿宋"/>
          <w:sz w:val="32"/>
          <w:szCs w:val="32"/>
          <w:u w:val="single"/>
          <w:lang w:val="en-US" w:eastAsia="zh-CN"/>
        </w:rPr>
        <w:t>5.38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 2.04%</w:t>
      </w:r>
      <w:r>
        <w:rPr>
          <w:rFonts w:hint="eastAsia" w:ascii="仿宋" w:hAnsi="仿宋" w:eastAsia="仿宋"/>
          <w:sz w:val="32"/>
          <w:szCs w:val="32"/>
        </w:rPr>
        <w:t>、住房保障支出</w:t>
      </w:r>
      <w:r>
        <w:rPr>
          <w:rFonts w:hint="eastAsia" w:ascii="仿宋" w:hAnsi="仿宋" w:eastAsia="仿宋"/>
          <w:sz w:val="32"/>
          <w:szCs w:val="32"/>
          <w:u w:val="single"/>
          <w:lang w:val="en-US" w:eastAsia="zh-CN"/>
        </w:rPr>
        <w:t>7.86</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占3%</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263.18</w:t>
      </w:r>
      <w:r>
        <w:rPr>
          <w:rFonts w:hint="eastAsia" w:ascii="仿宋" w:hAnsi="仿宋" w:eastAsia="仿宋"/>
          <w:sz w:val="32"/>
          <w:szCs w:val="32"/>
        </w:rPr>
        <w:t>万元，比</w:t>
      </w:r>
      <w:r>
        <w:rPr>
          <w:rFonts w:hint="eastAsia" w:ascii="仿宋" w:hAnsi="仿宋" w:eastAsia="仿宋"/>
          <w:sz w:val="32"/>
          <w:szCs w:val="32"/>
          <w:lang w:val="en-US"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24.89</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9.46</w:t>
      </w:r>
      <w:r>
        <w:rPr>
          <w:rFonts w:hint="eastAsia" w:ascii="仿宋" w:hAnsi="仿宋" w:eastAsia="仿宋"/>
          <w:sz w:val="32"/>
          <w:szCs w:val="32"/>
        </w:rPr>
        <w:t>%。主要是</w:t>
      </w:r>
      <w:r>
        <w:rPr>
          <w:rFonts w:hint="eastAsia" w:ascii="仿宋" w:hAnsi="仿宋" w:eastAsia="仿宋"/>
          <w:sz w:val="32"/>
          <w:szCs w:val="32"/>
          <w:u w:val="single"/>
          <w:lang w:eastAsia="zh-CN"/>
        </w:rPr>
        <w:t>我校</w:t>
      </w:r>
      <w:r>
        <w:rPr>
          <w:rFonts w:hint="eastAsia" w:ascii="仿宋" w:hAnsi="仿宋" w:eastAsia="仿宋"/>
          <w:sz w:val="32"/>
          <w:szCs w:val="32"/>
          <w:u w:val="single"/>
          <w:lang w:val="en-US" w:eastAsia="zh-CN"/>
        </w:rPr>
        <w:t>人员等增加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万元，比20</w:t>
      </w:r>
      <w:r>
        <w:rPr>
          <w:rFonts w:hint="eastAsia" w:ascii="仿宋" w:hAnsi="仿宋" w:eastAsia="仿宋"/>
          <w:sz w:val="32"/>
          <w:szCs w:val="32"/>
          <w:lang w:val="en-US" w:eastAsia="zh-CN"/>
        </w:rPr>
        <w:t>24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0</w:t>
      </w:r>
      <w:r>
        <w:rPr>
          <w:rFonts w:hint="eastAsia" w:ascii="仿宋" w:hAnsi="仿宋" w:eastAsia="仿宋"/>
          <w:sz w:val="32"/>
          <w:szCs w:val="32"/>
        </w:rPr>
        <w:t xml:space="preserve"> %。主要是</w:t>
      </w:r>
      <w:r>
        <w:rPr>
          <w:rFonts w:hint="eastAsia" w:ascii="仿宋" w:hAnsi="仿宋" w:eastAsia="仿宋"/>
          <w:sz w:val="32"/>
          <w:szCs w:val="32"/>
          <w:lang w:eastAsia="zh-CN"/>
        </w:rPr>
        <w:t>不涉及部门预算。</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263.18</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243.68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19.5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lang w:eastAsia="zh-CN"/>
        </w:rPr>
        <w:t>、生均公用经费等</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0</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年减少（增加）</w:t>
      </w:r>
      <w:r>
        <w:rPr>
          <w:rFonts w:hint="eastAsia" w:ascii="仿宋" w:hAnsi="仿宋" w:eastAsia="仿宋"/>
          <w:sz w:val="32"/>
          <w:szCs w:val="32"/>
          <w:u w:val="single"/>
          <w:lang w:val="en-US" w:eastAsia="zh-CN"/>
        </w:rPr>
        <w:t>0</w:t>
      </w:r>
      <w:r>
        <w:rPr>
          <w:rFonts w:hint="eastAsia" w:ascii="仿宋" w:hAnsi="仿宋" w:eastAsia="仿宋"/>
          <w:sz w:val="32"/>
          <w:szCs w:val="32"/>
        </w:rPr>
        <w:t>万元，压缩（增长）</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lang w:eastAsia="zh-CN"/>
        </w:rPr>
        <w:t>无需求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（没有数据的表格应当列出空表并说明“我部门（单位）2024年度没有政府性基金安排的支出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年部门（单位）机关</w:t>
      </w:r>
      <w:r>
        <w:rPr>
          <w:rFonts w:hint="eastAsia" w:ascii="仿宋" w:hAnsi="仿宋" w:eastAsia="仿宋"/>
          <w:sz w:val="32"/>
          <w:szCs w:val="32"/>
          <w:lang w:eastAsia="zh-CN"/>
        </w:rPr>
        <w:t>嘉黎县</w:t>
      </w:r>
      <w:r>
        <w:rPr>
          <w:rFonts w:hint="eastAsia" w:ascii="仿宋" w:hAnsi="仿宋" w:eastAsia="仿宋"/>
          <w:sz w:val="32"/>
          <w:szCs w:val="32"/>
          <w:lang w:val="en-US" w:eastAsia="zh-CN"/>
        </w:rPr>
        <w:t>尼屋乡幼儿园</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家事业单位的机关运行经费财政拨款预算</w:t>
      </w:r>
      <w:r>
        <w:rPr>
          <w:rFonts w:hint="eastAsia" w:ascii="仿宋" w:hAnsi="仿宋" w:eastAsia="仿宋"/>
          <w:sz w:val="32"/>
          <w:szCs w:val="32"/>
          <w:lang w:val="en-US" w:eastAsia="zh-CN"/>
        </w:rPr>
        <w:t>19.5</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_GB2312" w:eastAsia="仿宋_GB2312" w:cs="仿宋_GB2312" w:hAnsiTheme="minorHAnsi"/>
          <w:kern w:val="0"/>
          <w:sz w:val="32"/>
          <w:szCs w:val="32"/>
          <w:u w:val="single"/>
          <w:lang w:val="en-US" w:eastAsia="zh-CN"/>
        </w:rPr>
        <w:t>18.14</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9.3</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val="en-US" w:eastAsia="zh-CN"/>
        </w:rPr>
        <w:t>单位用氧经费增加等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（四）2024年预算绩效情况说明。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2024年实现财政支出绩效目标管理全覆盖，实行绩效目标管理</w:t>
      </w:r>
      <w:r>
        <w:rPr>
          <w:rFonts w:hint="eastAsia" w:ascii="仿宋" w:hAnsi="仿宋" w:eastAsia="仿宋"/>
          <w:sz w:val="32"/>
          <w:szCs w:val="32"/>
          <w:lang w:val="en-US" w:eastAsia="zh-CN"/>
        </w:rPr>
        <w:t>22</w:t>
      </w:r>
      <w:bookmarkStart w:id="0" w:name="_GoBack"/>
      <w:bookmarkEnd w:id="0"/>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263.18</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263.18</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楷体" w:hAnsi="楷体" w:eastAsia="楷体"/>
          <w:sz w:val="32"/>
          <w:szCs w:val="32"/>
          <w:lang w:eastAsia="zh-CN"/>
        </w:rPr>
      </w:pPr>
      <w:r>
        <w:rPr>
          <w:rFonts w:hint="eastAsia" w:ascii="楷体" w:hAnsi="楷体" w:eastAsia="楷体"/>
          <w:sz w:val="32"/>
          <w:szCs w:val="32"/>
          <w:lang w:eastAsia="zh-CN"/>
        </w:rPr>
        <w:t>我校无扶贫资金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r>
        <w:rPr>
          <w:rFonts w:hint="eastAsia" w:ascii="仿宋" w:hAnsi="仿宋" w:eastAsia="仿宋"/>
          <w:sz w:val="32"/>
          <w:szCs w:val="32"/>
          <w:lang w:eastAsia="zh-CN"/>
        </w:rPr>
        <w:t>我校无政府债务。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ZTI2ZGQzZGFkZmE3NDM0NmYwYjFiNDVhOThkZD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7113E9A"/>
    <w:rsid w:val="080B3940"/>
    <w:rsid w:val="0D037CEA"/>
    <w:rsid w:val="16536837"/>
    <w:rsid w:val="179B1D58"/>
    <w:rsid w:val="1D3B61E5"/>
    <w:rsid w:val="38236951"/>
    <w:rsid w:val="39B117AE"/>
    <w:rsid w:val="39D37D7B"/>
    <w:rsid w:val="3A2F29F8"/>
    <w:rsid w:val="459D5443"/>
    <w:rsid w:val="473462B2"/>
    <w:rsid w:val="493B49B5"/>
    <w:rsid w:val="49A14359"/>
    <w:rsid w:val="49EA5324"/>
    <w:rsid w:val="4A847483"/>
    <w:rsid w:val="5052484C"/>
    <w:rsid w:val="52F72E02"/>
    <w:rsid w:val="56860E31"/>
    <w:rsid w:val="574631ED"/>
    <w:rsid w:val="734F4B47"/>
    <w:rsid w:val="73763CFB"/>
    <w:rsid w:val="7C0D36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23</TotalTime>
  <ScaleCrop>false</ScaleCrop>
  <LinksUpToDate>false</LinksUpToDate>
  <CharactersWithSpaces>4729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2025-01-26T17:11:47Z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5B7D168C2BCA42F9A2F0E826FFC35EAD_12</vt:lpwstr>
  </property>
</Properties>
</file>