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西藏</w:t>
      </w:r>
      <w:r>
        <w:rPr>
          <w:rFonts w:hint="eastAsia" w:ascii="方正小标宋简体" w:hAnsi="仿宋" w:eastAsia="方正小标宋简体"/>
          <w:sz w:val="44"/>
          <w:szCs w:val="44"/>
          <w:lang w:eastAsia="zh-CN"/>
        </w:rPr>
        <w:t>那曲</w:t>
      </w:r>
      <w:r>
        <w:rPr>
          <w:rFonts w:hint="eastAsia" w:ascii="方正小标宋简体" w:hAnsi="仿宋" w:eastAsia="方正小标宋简体"/>
          <w:sz w:val="44"/>
          <w:szCs w:val="44"/>
        </w:rPr>
        <w:t>嘉黎县</w:t>
      </w:r>
      <w:r>
        <w:rPr>
          <w:rFonts w:hint="eastAsia" w:ascii="方正小标宋简体" w:hAnsi="仿宋" w:eastAsia="方正小标宋简体"/>
          <w:sz w:val="44"/>
          <w:szCs w:val="44"/>
          <w:lang w:eastAsia="zh-CN"/>
        </w:rPr>
        <w:t>融媒体中心</w:t>
      </w:r>
      <w:r>
        <w:rPr>
          <w:rFonts w:hint="eastAsia" w:ascii="方正小标宋简体" w:hAnsi="仿宋" w:eastAsia="方正小标宋简体"/>
          <w:sz w:val="44"/>
          <w:szCs w:val="44"/>
        </w:rPr>
        <w:t>中心202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numPr>
          <w:ilvl w:val="0"/>
          <w:numId w:val="1"/>
        </w:numP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 xml:space="preserve"> </w:t>
      </w:r>
      <w:r>
        <w:rPr>
          <w:rFonts w:hint="eastAsia" w:ascii="方正小标宋简体" w:hAnsi="仿宋" w:eastAsia="方正小标宋简体"/>
          <w:sz w:val="32"/>
          <w:szCs w:val="32"/>
          <w:lang w:eastAsia="zh-CN"/>
        </w:rPr>
        <w:t>西藏那曲嘉黎县融媒体中心</w:t>
      </w:r>
    </w:p>
    <w:p>
      <w:pPr>
        <w:numPr>
          <w:ilvl w:val="0"/>
          <w:numId w:val="0"/>
        </w:num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numPr>
          <w:ilvl w:val="0"/>
          <w:numId w:val="1"/>
        </w:numP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西藏那曲嘉黎县融媒体中心</w:t>
      </w:r>
    </w:p>
    <w:p>
      <w:pP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2025年</w:t>
      </w:r>
      <w:r>
        <w:rPr>
          <w:rFonts w:hint="eastAsia" w:ascii="方正小标宋简体" w:hAnsi="仿宋" w:eastAsia="方正小标宋简体"/>
          <w:sz w:val="32"/>
          <w:szCs w:val="32"/>
        </w:rPr>
        <w:t>预算明细表</w:t>
      </w:r>
    </w:p>
    <w:p>
      <w:pPr>
        <w:numPr>
          <w:ilvl w:val="0"/>
          <w:numId w:val="1"/>
        </w:numP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西藏那曲嘉黎县融媒体中心</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numPr>
          <w:ilvl w:val="0"/>
          <w:numId w:val="1"/>
        </w:numP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西藏那曲嘉黎县融媒体中心</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lang w:eastAsia="zh-CN"/>
        </w:rPr>
        <w:t>负责广播电视节目的安全播出情况。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负责</w:t>
      </w:r>
      <w:r>
        <w:rPr>
          <w:rFonts w:hint="eastAsia" w:ascii="仿宋" w:hAnsi="仿宋" w:eastAsia="仿宋"/>
          <w:sz w:val="32"/>
          <w:szCs w:val="32"/>
          <w:lang w:val="en-US" w:eastAsia="zh-CN"/>
        </w:rPr>
        <w:t>全县广播电视接收设备维护维修日常工作。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3.负责执行广播电视全县重大宣传活动，根据国家政策开展广播电视节目工作。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4.负责执行广播电视与新媒体、新业态融合发展、落实国家相关政策宣传工作。</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5.负责广播影视及农村电影放映工作。</w:t>
      </w:r>
    </w:p>
    <w:p>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6、负责全县新闻舆论传播、引导、影响，做好正面宣传工作。</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西藏那曲嘉黎县融媒体中心2025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黑体" w:hAnsi="黑体" w:eastAsia="黑体"/>
          <w:sz w:val="32"/>
          <w:szCs w:val="32"/>
        </w:rPr>
      </w:pPr>
      <w:r>
        <w:rPr>
          <w:rFonts w:hint="eastAsia" w:ascii="方正小标宋简体" w:hAnsi="仿宋" w:eastAsia="方正小标宋简体"/>
          <w:sz w:val="32"/>
          <w:szCs w:val="32"/>
          <w:lang w:eastAsia="zh-CN"/>
        </w:rPr>
        <w:t>西藏那曲嘉黎县融媒体中心</w:t>
      </w:r>
      <w:r>
        <w:rPr>
          <w:rFonts w:hint="eastAsia" w:ascii="方正小标宋简体" w:hAnsi="仿宋" w:eastAsia="方正小标宋简体"/>
          <w:sz w:val="32"/>
          <w:szCs w:val="32"/>
          <w:lang w:val="en-US" w:eastAsia="zh-CN"/>
        </w:rPr>
        <w:t>2025年</w:t>
      </w:r>
      <w:r>
        <w:rPr>
          <w:rFonts w:hint="eastAsia" w:ascii="方正小标宋简体" w:hAnsi="仿宋" w:eastAsia="方正小标宋简体"/>
          <w:sz w:val="32"/>
          <w:szCs w:val="32"/>
        </w:rPr>
        <w:t>预算数据分析</w:t>
      </w: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893.1</w:t>
      </w:r>
      <w:r>
        <w:rPr>
          <w:rFonts w:hint="eastAsia" w:ascii="仿宋" w:hAnsi="仿宋" w:eastAsia="仿宋"/>
          <w:sz w:val="32"/>
          <w:szCs w:val="32"/>
        </w:rPr>
        <w:t>万元。收入包括：一般公共预算拨款收入、上年结转；支出包括：一般公共服务支出、文化旅游体育与传媒支出、社会保障和就业支出、卫生健康支出、住房保障支出。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893.1</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33.78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lang w:eastAsia="zh-CN"/>
        </w:rPr>
        <w:t>基本支出增加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26.9</w:t>
      </w:r>
      <w:r>
        <w:rPr>
          <w:rFonts w:hint="eastAsia" w:ascii="仿宋" w:hAnsi="仿宋" w:eastAsia="仿宋"/>
          <w:sz w:val="32"/>
          <w:szCs w:val="32"/>
        </w:rPr>
        <w:t>万元，占</w:t>
      </w:r>
      <w:r>
        <w:rPr>
          <w:rFonts w:hint="eastAsia" w:ascii="仿宋" w:hAnsi="仿宋" w:eastAsia="仿宋"/>
          <w:sz w:val="32"/>
          <w:szCs w:val="32"/>
          <w:u w:val="single"/>
          <w:lang w:val="en-US" w:eastAsia="zh-CN"/>
        </w:rPr>
        <w:t>3.01</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866.2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96.99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893.1</w:t>
      </w:r>
      <w:r>
        <w:rPr>
          <w:rFonts w:hint="eastAsia" w:ascii="仿宋" w:hAnsi="仿宋" w:eastAsia="仿宋"/>
          <w:sz w:val="32"/>
          <w:szCs w:val="32"/>
        </w:rPr>
        <w:t>万元，同比增加</w:t>
      </w:r>
      <w:r>
        <w:rPr>
          <w:rFonts w:hint="eastAsia" w:ascii="仿宋" w:hAnsi="仿宋" w:eastAsia="仿宋"/>
          <w:sz w:val="32"/>
          <w:szCs w:val="32"/>
          <w:lang w:val="en-US" w:eastAsia="zh-CN"/>
        </w:rPr>
        <w:t>33.78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基本支出增加</w:t>
      </w:r>
      <w:r>
        <w:rPr>
          <w:rFonts w:hint="eastAsia" w:ascii="仿宋" w:hAnsi="仿宋" w:eastAsia="仿宋"/>
          <w:sz w:val="32"/>
          <w:szCs w:val="32"/>
        </w:rPr>
        <w:t>。其中：基本支出</w:t>
      </w:r>
      <w:r>
        <w:rPr>
          <w:rFonts w:hint="eastAsia" w:ascii="仿宋" w:hAnsi="仿宋" w:eastAsia="仿宋"/>
          <w:sz w:val="32"/>
          <w:szCs w:val="32"/>
          <w:u w:val="single"/>
          <w:lang w:val="en-US" w:eastAsia="zh-CN"/>
        </w:rPr>
        <w:t>747.21</w:t>
      </w:r>
      <w:r>
        <w:rPr>
          <w:rFonts w:hint="eastAsia" w:ascii="仿宋" w:hAnsi="仿宋" w:eastAsia="仿宋"/>
          <w:sz w:val="32"/>
          <w:szCs w:val="32"/>
        </w:rPr>
        <w:t>万元，占</w:t>
      </w:r>
      <w:r>
        <w:rPr>
          <w:rFonts w:hint="eastAsia" w:ascii="仿宋" w:hAnsi="仿宋" w:eastAsia="仿宋"/>
          <w:sz w:val="32"/>
          <w:szCs w:val="32"/>
          <w:u w:val="single"/>
          <w:lang w:val="en-US" w:eastAsia="zh-CN"/>
        </w:rPr>
        <w:t>83.66</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145.89</w:t>
      </w:r>
      <w:r>
        <w:rPr>
          <w:rFonts w:hint="eastAsia" w:ascii="仿宋" w:hAnsi="仿宋" w:eastAsia="仿宋"/>
          <w:sz w:val="32"/>
          <w:szCs w:val="32"/>
        </w:rPr>
        <w:t>万元，占</w:t>
      </w:r>
      <w:r>
        <w:rPr>
          <w:rFonts w:hint="eastAsia" w:ascii="仿宋" w:hAnsi="仿宋" w:eastAsia="仿宋"/>
          <w:sz w:val="32"/>
          <w:szCs w:val="32"/>
          <w:u w:val="single"/>
          <w:lang w:val="en-US" w:eastAsia="zh-CN"/>
        </w:rPr>
        <w:t>16.34</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893.1</w:t>
      </w:r>
      <w:r>
        <w:rPr>
          <w:rFonts w:hint="eastAsia" w:ascii="仿宋" w:hAnsi="仿宋" w:eastAsia="仿宋"/>
          <w:sz w:val="32"/>
          <w:szCs w:val="32"/>
        </w:rPr>
        <w:t>万元，同比增加</w:t>
      </w:r>
      <w:r>
        <w:rPr>
          <w:rFonts w:hint="eastAsia" w:ascii="仿宋" w:hAnsi="仿宋" w:eastAsia="仿宋"/>
          <w:sz w:val="32"/>
          <w:szCs w:val="32"/>
          <w:u w:val="single"/>
          <w:lang w:val="en-US" w:eastAsia="zh-CN"/>
        </w:rPr>
        <w:t>33.78</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基本支出增加</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866.2</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26.9</w:t>
      </w:r>
      <w:r>
        <w:rPr>
          <w:rFonts w:hint="eastAsia" w:ascii="仿宋" w:hAnsi="仿宋" w:eastAsia="仿宋"/>
          <w:sz w:val="32"/>
          <w:szCs w:val="32"/>
        </w:rPr>
        <w:t>万元；支出包括：</w:t>
      </w:r>
      <w:r>
        <w:rPr>
          <w:rFonts w:hint="eastAsia" w:ascii="仿宋" w:hAnsi="仿宋" w:eastAsia="仿宋"/>
          <w:sz w:val="32"/>
          <w:szCs w:val="32"/>
          <w:lang w:eastAsia="zh-CN"/>
        </w:rPr>
        <w:t>一般公共服务支出</w:t>
      </w:r>
      <w:r>
        <w:rPr>
          <w:rFonts w:hint="eastAsia" w:ascii="仿宋" w:hAnsi="仿宋" w:eastAsia="仿宋"/>
          <w:sz w:val="32"/>
          <w:szCs w:val="32"/>
          <w:lang w:val="en-US" w:eastAsia="zh-CN"/>
        </w:rPr>
        <w:t>0.21万元、</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747.2</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63.25</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31.1</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51.33</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893.1</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33.78</w:t>
      </w:r>
      <w:r>
        <w:rPr>
          <w:rFonts w:hint="eastAsia" w:ascii="仿宋" w:hAnsi="仿宋" w:eastAsia="仿宋"/>
          <w:sz w:val="32"/>
          <w:szCs w:val="32"/>
        </w:rPr>
        <w:t>万元，主要原因：</w:t>
      </w:r>
      <w:r>
        <w:rPr>
          <w:rFonts w:hint="eastAsia" w:ascii="仿宋" w:hAnsi="仿宋" w:eastAsia="仿宋"/>
          <w:sz w:val="32"/>
          <w:szCs w:val="32"/>
          <w:u w:val="single"/>
          <w:lang w:eastAsia="zh-CN"/>
        </w:rPr>
        <w:t>基本支出增加</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jc w:val="left"/>
        <w:rPr>
          <w:rFonts w:hint="eastAsia" w:ascii="仿宋" w:hAnsi="仿宋" w:eastAsia="仿宋"/>
          <w:sz w:val="32"/>
          <w:szCs w:val="32"/>
          <w:lang w:val="en-US"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893.1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0.21</w:t>
      </w:r>
      <w:r>
        <w:rPr>
          <w:rFonts w:hint="eastAsia" w:ascii="仿宋" w:hAnsi="仿宋" w:eastAsia="仿宋"/>
          <w:sz w:val="32"/>
          <w:szCs w:val="32"/>
        </w:rPr>
        <w:t>万元，占</w:t>
      </w:r>
      <w:r>
        <w:rPr>
          <w:rFonts w:hint="eastAsia" w:ascii="仿宋" w:hAnsi="仿宋" w:eastAsia="仿宋"/>
          <w:sz w:val="32"/>
          <w:szCs w:val="32"/>
          <w:u w:val="single"/>
          <w:lang w:val="en-US" w:eastAsia="zh-CN"/>
        </w:rPr>
        <w:t>0.02</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747.2</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83.66%</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63.25</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7.08%；</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31.1</w:t>
      </w:r>
      <w:r>
        <w:rPr>
          <w:rFonts w:hint="eastAsia" w:ascii="仿宋" w:hAnsi="仿宋" w:eastAsia="仿宋"/>
          <w:sz w:val="32"/>
          <w:szCs w:val="32"/>
        </w:rPr>
        <w:t>万元</w:t>
      </w:r>
      <w:r>
        <w:rPr>
          <w:rFonts w:hint="eastAsia" w:ascii="仿宋" w:hAnsi="仿宋" w:eastAsia="仿宋"/>
          <w:sz w:val="32"/>
          <w:szCs w:val="32"/>
          <w:lang w:eastAsia="zh-CN"/>
        </w:rPr>
        <w:t>，占</w:t>
      </w:r>
      <w:r>
        <w:rPr>
          <w:rFonts w:hint="eastAsia" w:ascii="仿宋" w:hAnsi="仿宋" w:eastAsia="仿宋"/>
          <w:sz w:val="32"/>
          <w:szCs w:val="32"/>
          <w:lang w:val="en-US" w:eastAsia="zh-CN"/>
        </w:rPr>
        <w:t>3.48%，住房保障支出51.33万元，占5.75%.</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747.21</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76.88</w:t>
      </w:r>
      <w:r>
        <w:rPr>
          <w:rFonts w:hint="eastAsia" w:ascii="仿宋" w:hAnsi="仿宋" w:eastAsia="仿宋"/>
          <w:sz w:val="32"/>
          <w:szCs w:val="32"/>
        </w:rPr>
        <w:t>元，</w:t>
      </w:r>
      <w:r>
        <w:rPr>
          <w:rFonts w:hint="eastAsia" w:ascii="仿宋" w:hAnsi="仿宋" w:eastAsia="仿宋"/>
          <w:sz w:val="32"/>
          <w:szCs w:val="32"/>
          <w:lang w:eastAsia="zh-CN"/>
        </w:rPr>
        <w:t>增长</w:t>
      </w:r>
      <w:r>
        <w:rPr>
          <w:rFonts w:hint="eastAsia" w:ascii="仿宋" w:hAnsi="仿宋" w:eastAsia="仿宋"/>
          <w:sz w:val="32"/>
          <w:szCs w:val="32"/>
          <w:lang w:val="en-US" w:eastAsia="zh-CN"/>
        </w:rPr>
        <w:t>11.47</w:t>
      </w:r>
      <w:r>
        <w:rPr>
          <w:rFonts w:hint="eastAsia" w:ascii="仿宋" w:hAnsi="仿宋" w:eastAsia="仿宋"/>
          <w:sz w:val="32"/>
          <w:szCs w:val="32"/>
        </w:rPr>
        <w:t>%。主要是</w:t>
      </w:r>
      <w:r>
        <w:rPr>
          <w:rFonts w:hint="eastAsia" w:ascii="仿宋" w:hAnsi="仿宋" w:eastAsia="仿宋"/>
          <w:sz w:val="32"/>
          <w:szCs w:val="32"/>
          <w:lang w:eastAsia="zh-CN"/>
        </w:rPr>
        <w:t>驻村补助及用氧经费等增加</w:t>
      </w:r>
      <w:r>
        <w:rPr>
          <w:rFonts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145.89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112.69</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43.58</w:t>
      </w:r>
      <w:r>
        <w:rPr>
          <w:rFonts w:hint="eastAsia" w:ascii="仿宋" w:hAnsi="仿宋" w:eastAsia="仿宋"/>
          <w:sz w:val="32"/>
          <w:szCs w:val="32"/>
        </w:rPr>
        <w:t xml:space="preserve"> %。主要是</w:t>
      </w:r>
      <w:r>
        <w:rPr>
          <w:rFonts w:hint="eastAsia" w:ascii="仿宋" w:hAnsi="仿宋" w:eastAsia="仿宋"/>
          <w:sz w:val="32"/>
          <w:szCs w:val="32"/>
          <w:lang w:eastAsia="zh-CN"/>
        </w:rPr>
        <w:t>部分项目预算减少。</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747.21</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696.92</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50.29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lang w:val="en-US" w:eastAsia="zh-CN"/>
        </w:rPr>
        <w:t>5.4</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0.4</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7.4</w:t>
      </w:r>
      <w:r>
        <w:rPr>
          <w:rFonts w:hint="eastAsia" w:ascii="仿宋" w:hAnsi="仿宋" w:eastAsia="仿宋"/>
          <w:sz w:val="32"/>
          <w:szCs w:val="32"/>
        </w:rPr>
        <w:t>%，主要原因是</w:t>
      </w:r>
      <w:r>
        <w:rPr>
          <w:rFonts w:hint="eastAsia" w:ascii="仿宋" w:hAnsi="仿宋" w:eastAsia="仿宋"/>
          <w:sz w:val="32"/>
          <w:szCs w:val="32"/>
          <w:u w:val="single"/>
          <w:lang w:eastAsia="zh-CN"/>
        </w:rPr>
        <w:t>业务量增加。</w:t>
      </w: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w:t>
      </w:r>
      <w:r>
        <w:rPr>
          <w:rFonts w:hint="eastAsia" w:ascii="仿宋" w:hAnsi="仿宋" w:eastAsia="仿宋"/>
          <w:sz w:val="32"/>
          <w:szCs w:val="32"/>
          <w:lang w:eastAsia="zh-CN"/>
        </w:rPr>
        <w:t>2025</w:t>
      </w:r>
      <w:r>
        <w:rPr>
          <w:rFonts w:hint="eastAsia" w:ascii="仿宋" w:hAnsi="仿宋" w:eastAsia="仿宋"/>
          <w:sz w:val="32"/>
          <w:szCs w:val="32"/>
        </w:rPr>
        <w:t>年度</w:t>
      </w:r>
      <w:r>
        <w:rPr>
          <w:rFonts w:hint="eastAsia" w:ascii="仿宋" w:hAnsi="仿宋" w:eastAsia="仿宋"/>
          <w:sz w:val="32"/>
          <w:szCs w:val="32"/>
          <w:lang w:eastAsia="zh-CN"/>
        </w:rPr>
        <w:t>不涉及</w:t>
      </w:r>
      <w:r>
        <w:rPr>
          <w:rFonts w:hint="eastAsia" w:ascii="仿宋" w:hAnsi="仿宋" w:eastAsia="仿宋"/>
          <w:sz w:val="32"/>
          <w:szCs w:val="32"/>
        </w:rPr>
        <w:t>政府性基金安排的支出。</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年部门（单位）机关等</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hint="eastAsia" w:ascii="仿宋" w:hAnsi="仿宋" w:eastAsia="仿宋"/>
          <w:sz w:val="32"/>
          <w:szCs w:val="32"/>
          <w:lang w:eastAsia="zh-CN"/>
        </w:rPr>
        <w:t>融媒体</w:t>
      </w:r>
      <w:r>
        <w:rPr>
          <w:rFonts w:hint="eastAsia" w:ascii="仿宋" w:hAnsi="仿宋" w:eastAsia="仿宋"/>
          <w:sz w:val="32"/>
          <w:szCs w:val="32"/>
        </w:rPr>
        <w:t>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_GB2312" w:eastAsia="仿宋_GB2312" w:cs="仿宋_GB2312" w:hAnsiTheme="minorHAnsi"/>
          <w:kern w:val="0"/>
          <w:sz w:val="32"/>
          <w:szCs w:val="32"/>
          <w:u w:val="single"/>
          <w:lang w:val="en-US" w:eastAsia="zh-CN"/>
        </w:rPr>
        <w:t>50.29</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14.93</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_GB2312" w:eastAsia="仿宋_GB2312" w:cs="仿宋_GB2312" w:hAnsiTheme="minorHAnsi"/>
          <w:kern w:val="0"/>
          <w:sz w:val="32"/>
          <w:szCs w:val="32"/>
          <w:u w:val="single"/>
          <w:lang w:val="en-US" w:eastAsia="zh-CN"/>
        </w:rPr>
        <w:t>29.69</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eastAsia="zh-CN"/>
        </w:rPr>
        <w:t>增加食堂补助以及单位用氧经费增加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业务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hint="eastAsia" w:ascii="仿宋" w:hAnsi="仿宋" w:eastAsia="仿宋"/>
          <w:sz w:val="32"/>
          <w:szCs w:val="32"/>
          <w:lang w:eastAsia="zh-CN"/>
        </w:rPr>
        <w:t>2025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23</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893.1</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893.1</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960" w:firstLineChars="300"/>
        <w:rPr>
          <w:rFonts w:ascii="仿宋" w:hAnsi="仿宋" w:eastAsia="仿宋"/>
          <w:sz w:val="32"/>
          <w:szCs w:val="32"/>
        </w:rPr>
      </w:pPr>
      <w:r>
        <w:rPr>
          <w:rFonts w:hint="eastAsia" w:ascii="仿宋" w:hAnsi="仿宋" w:eastAsia="仿宋"/>
          <w:sz w:val="32"/>
          <w:szCs w:val="32"/>
          <w:lang w:eastAsia="zh-CN"/>
        </w:rPr>
        <w:t>嘉黎县融媒体中心</w:t>
      </w:r>
      <w:r>
        <w:rPr>
          <w:rFonts w:hint="eastAsia" w:ascii="仿宋" w:hAnsi="仿宋" w:eastAsia="仿宋"/>
          <w:sz w:val="32"/>
          <w:szCs w:val="32"/>
        </w:rPr>
        <w:t>无扶贫领域资金。</w:t>
      </w:r>
    </w:p>
    <w:p>
      <w:pPr>
        <w:ind w:firstLine="640" w:firstLineChars="200"/>
        <w:rPr>
          <w:rFonts w:hint="eastAsia" w:ascii="仿宋" w:hAnsi="仿宋" w:eastAsia="仿宋"/>
          <w:sz w:val="32"/>
          <w:szCs w:val="32"/>
          <w:lang w:eastAsia="zh-CN"/>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嘉黎县融媒体中心</w:t>
      </w:r>
      <w:r>
        <w:rPr>
          <w:rFonts w:hint="eastAsia" w:ascii="仿宋" w:hAnsi="仿宋" w:eastAsia="仿宋"/>
          <w:sz w:val="32"/>
          <w:szCs w:val="32"/>
        </w:rPr>
        <w:t>无政府债券资金</w:t>
      </w:r>
      <w:r>
        <w:rPr>
          <w:rFonts w:hint="eastAsia" w:ascii="仿宋" w:hAnsi="仿宋" w:eastAsia="仿宋"/>
          <w:sz w:val="32"/>
          <w:szCs w:val="32"/>
          <w:lang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4078164332">
    <w:nsid w:val="F313D96C"/>
    <w:multiLevelType w:val="singleLevel"/>
    <w:tmpl w:val="F313D96C"/>
    <w:lvl w:ilvl="0" w:tentative="1">
      <w:start w:val="1"/>
      <w:numFmt w:val="chineseCounting"/>
      <w:suff w:val="space"/>
      <w:lvlText w:val="第%1部分"/>
      <w:lvlJc w:val="left"/>
      <w:rPr>
        <w:rFonts w:hint="eastAsia"/>
      </w:rPr>
    </w:lvl>
  </w:abstractNum>
  <w:num w:numId="1">
    <w:abstractNumId w:val="40781643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368FD"/>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6E5F"/>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2F019DF"/>
    <w:rsid w:val="04456A8D"/>
    <w:rsid w:val="05536C4A"/>
    <w:rsid w:val="05937A34"/>
    <w:rsid w:val="0609136C"/>
    <w:rsid w:val="065E0402"/>
    <w:rsid w:val="07067916"/>
    <w:rsid w:val="07A35216"/>
    <w:rsid w:val="091C11FF"/>
    <w:rsid w:val="09F77C68"/>
    <w:rsid w:val="0A554C8D"/>
    <w:rsid w:val="0E596F18"/>
    <w:rsid w:val="11527EFA"/>
    <w:rsid w:val="11E12C61"/>
    <w:rsid w:val="123C473F"/>
    <w:rsid w:val="147130AE"/>
    <w:rsid w:val="16437993"/>
    <w:rsid w:val="16BE50DE"/>
    <w:rsid w:val="18974964"/>
    <w:rsid w:val="18F5277F"/>
    <w:rsid w:val="1A753EF5"/>
    <w:rsid w:val="1C625C9F"/>
    <w:rsid w:val="1FBE0F24"/>
    <w:rsid w:val="21AF4E62"/>
    <w:rsid w:val="226D2D8C"/>
    <w:rsid w:val="226E4F8A"/>
    <w:rsid w:val="235B6307"/>
    <w:rsid w:val="236B3BA8"/>
    <w:rsid w:val="23780CBF"/>
    <w:rsid w:val="238E2E63"/>
    <w:rsid w:val="28207644"/>
    <w:rsid w:val="29B42CF8"/>
    <w:rsid w:val="2A087F1D"/>
    <w:rsid w:val="2ABC352B"/>
    <w:rsid w:val="2B7277D6"/>
    <w:rsid w:val="2C6A5583"/>
    <w:rsid w:val="2C8D59A4"/>
    <w:rsid w:val="2D5708F0"/>
    <w:rsid w:val="2D9D35E3"/>
    <w:rsid w:val="2E086516"/>
    <w:rsid w:val="2E78204D"/>
    <w:rsid w:val="2E9F6689"/>
    <w:rsid w:val="31507277"/>
    <w:rsid w:val="315D6715"/>
    <w:rsid w:val="31C74937"/>
    <w:rsid w:val="33835F12"/>
    <w:rsid w:val="3B2F1426"/>
    <w:rsid w:val="3BCF352E"/>
    <w:rsid w:val="3C764FC0"/>
    <w:rsid w:val="3D25605E"/>
    <w:rsid w:val="3DA678B1"/>
    <w:rsid w:val="402121C3"/>
    <w:rsid w:val="409E2E12"/>
    <w:rsid w:val="40C32DE5"/>
    <w:rsid w:val="42231AA7"/>
    <w:rsid w:val="44BC28D1"/>
    <w:rsid w:val="48220665"/>
    <w:rsid w:val="48326701"/>
    <w:rsid w:val="48911F9D"/>
    <w:rsid w:val="48C514F3"/>
    <w:rsid w:val="48CD18F6"/>
    <w:rsid w:val="491F2AA1"/>
    <w:rsid w:val="4ABB0329"/>
    <w:rsid w:val="4AE87EF3"/>
    <w:rsid w:val="4C7450FB"/>
    <w:rsid w:val="4DD053B8"/>
    <w:rsid w:val="4ED513E2"/>
    <w:rsid w:val="597439D0"/>
    <w:rsid w:val="5A933E27"/>
    <w:rsid w:val="5B053ACA"/>
    <w:rsid w:val="5BA7046C"/>
    <w:rsid w:val="5E65126A"/>
    <w:rsid w:val="5FD53A4A"/>
    <w:rsid w:val="60867FEA"/>
    <w:rsid w:val="61AC7DCD"/>
    <w:rsid w:val="63783BC0"/>
    <w:rsid w:val="639F3A80"/>
    <w:rsid w:val="63E776F7"/>
    <w:rsid w:val="64E84D1C"/>
    <w:rsid w:val="65326415"/>
    <w:rsid w:val="67371FE2"/>
    <w:rsid w:val="683F6098"/>
    <w:rsid w:val="686007CB"/>
    <w:rsid w:val="697D1B8F"/>
    <w:rsid w:val="6A21622D"/>
    <w:rsid w:val="6B0542A1"/>
    <w:rsid w:val="6B1348BC"/>
    <w:rsid w:val="6E8509E0"/>
    <w:rsid w:val="70707286"/>
    <w:rsid w:val="70AF47ED"/>
    <w:rsid w:val="731C016A"/>
    <w:rsid w:val="74337932"/>
    <w:rsid w:val="748103FA"/>
    <w:rsid w:val="74C66EA0"/>
    <w:rsid w:val="754F6E04"/>
    <w:rsid w:val="768F7791"/>
    <w:rsid w:val="7B0F1874"/>
    <w:rsid w:val="7BC417DF"/>
    <w:rsid w:val="7BE11BCC"/>
    <w:rsid w:val="7CFB2319"/>
    <w:rsid w:val="7E0B2527"/>
    <w:rsid w:val="7E132DE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2025-01-23T14:13:16Z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