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bookmarkStart w:id="0" w:name="_GoBack"/>
      <w:bookmarkEnd w:id="0"/>
      <w:r>
        <w:rPr>
          <w:rFonts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年部门（单位）预算信息公开模板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嘉黎县</w:t>
      </w:r>
      <w:r>
        <w:rPr>
          <w:rFonts w:hint="eastAsia" w:ascii="方正小标宋简体" w:hAnsi="仿宋" w:eastAsia="方正小标宋简体"/>
          <w:sz w:val="44"/>
          <w:szCs w:val="44"/>
          <w:lang w:val="en-US" w:eastAsia="zh-CN"/>
        </w:rPr>
        <w:t>嘉黎镇第二幼儿园</w:t>
      </w:r>
      <w:r>
        <w:rPr>
          <w:rFonts w:hint="eastAsia" w:ascii="方正小标宋简体" w:hAnsi="仿宋" w:eastAsia="方正小标宋简体"/>
          <w:sz w:val="44"/>
          <w:szCs w:val="44"/>
        </w:rPr>
        <w:t>（部门/单位）202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年度部门（单位）预算</w:t>
      </w:r>
    </w:p>
    <w:p>
      <w:pPr>
        <w:rPr>
          <w:rFonts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color w:val="0000FF"/>
          <w:sz w:val="32"/>
          <w:szCs w:val="32"/>
        </w:rPr>
      </w:pPr>
    </w:p>
    <w:p>
      <w:pPr>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2025</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 xml:space="preserve">月 </w:t>
      </w:r>
      <w:r>
        <w:rPr>
          <w:rFonts w:hint="eastAsia" w:ascii="仿宋" w:hAnsi="仿宋" w:eastAsia="仿宋"/>
          <w:color w:val="000000" w:themeColor="text1"/>
          <w:sz w:val="32"/>
          <w:szCs w:val="32"/>
          <w:lang w:val="en-US" w:eastAsia="zh-CN"/>
          <w14:textFill>
            <w14:solidFill>
              <w14:schemeClr w14:val="tx1"/>
            </w14:solidFill>
          </w14:textFill>
        </w:rPr>
        <w:t>25</w:t>
      </w:r>
      <w:r>
        <w:rPr>
          <w:rFonts w:hint="eastAsia" w:ascii="仿宋" w:hAnsi="仿宋" w:eastAsia="仿宋"/>
          <w:color w:val="000000" w:themeColor="text1"/>
          <w:sz w:val="32"/>
          <w:szCs w:val="32"/>
          <w14:textFill>
            <w14:solidFill>
              <w14:schemeClr w14:val="tx1"/>
            </w14:solidFill>
          </w14:textFill>
        </w:rPr>
        <w:t>日</w:t>
      </w:r>
    </w:p>
    <w:p>
      <w:pPr>
        <w:jc w:val="center"/>
        <w:rPr>
          <w:rFonts w:hint="eastAsia" w:ascii="仿宋" w:hAnsi="仿宋" w:eastAsia="仿宋"/>
          <w:color w:val="000000" w:themeColor="text1"/>
          <w:sz w:val="32"/>
          <w:szCs w:val="32"/>
          <w14:textFill>
            <w14:solidFill>
              <w14:schemeClr w14:val="tx1"/>
            </w14:solidFill>
          </w14:textFill>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嘉黎镇第二幼儿园</w:t>
      </w:r>
      <w:r>
        <w:rPr>
          <w:rFonts w:hint="eastAsia" w:ascii="方正小标宋简体" w:hAnsi="仿宋" w:eastAsia="方正小标宋简体"/>
          <w:sz w:val="32"/>
          <w:szCs w:val="32"/>
        </w:rPr>
        <w:t>（部门/单位）概况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嘉黎镇第二幼儿园</w:t>
      </w:r>
      <w:r>
        <w:rPr>
          <w:rFonts w:hint="eastAsia" w:ascii="方正小标宋简体" w:hAnsi="仿宋" w:eastAsia="方正小标宋简体"/>
          <w:sz w:val="32"/>
          <w:szCs w:val="32"/>
        </w:rPr>
        <w:t>（部门/单位）部门（单位）预算明细表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嘉黎镇第二幼儿园</w:t>
      </w:r>
      <w:r>
        <w:rPr>
          <w:rFonts w:hint="eastAsia" w:ascii="方正小标宋简体" w:hAnsi="仿宋" w:eastAsia="方正小标宋简体"/>
          <w:sz w:val="32"/>
          <w:szCs w:val="32"/>
        </w:rPr>
        <w:t>（部门/单位）部门（单位）预算数据分析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嘉黎镇第二幼儿园</w:t>
      </w:r>
      <w:r>
        <w:rPr>
          <w:rFonts w:hint="eastAsia" w:ascii="方正小标宋简体" w:hAnsi="仿宋" w:eastAsia="方正小标宋简体"/>
          <w:sz w:val="32"/>
          <w:szCs w:val="32"/>
        </w:rPr>
        <w:t>（部门/单位）概况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 w:hAnsi="仿宋" w:eastAsia="仿宋"/>
          <w:sz w:val="32"/>
          <w:szCs w:val="32"/>
        </w:rPr>
      </w:pPr>
      <w:r>
        <w:rPr>
          <w:rFonts w:hint="eastAsia" w:ascii="仿宋" w:hAnsi="仿宋" w:eastAsia="仿宋"/>
          <w:sz w:val="32"/>
          <w:szCs w:val="32"/>
        </w:rPr>
        <w:t>单位</w:t>
      </w:r>
      <w:r>
        <w:rPr>
          <w:rFonts w:ascii="仿宋" w:hAnsi="仿宋" w:eastAsia="仿宋"/>
          <w:sz w:val="32"/>
          <w:szCs w:val="32"/>
        </w:rPr>
        <w:t>总体情况</w:t>
      </w:r>
      <w:r>
        <w:rPr>
          <w:rFonts w:hint="eastAsia"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组织部门印发的“三定”方案文件，规定的部门（单位）主要职责。</w:t>
      </w:r>
      <w:r>
        <w:rPr>
          <w:rFonts w:hint="eastAsia" w:ascii="仿宋" w:hAnsi="仿宋" w:eastAsia="仿宋"/>
          <w:sz w:val="32"/>
          <w:szCs w:val="32"/>
          <w:lang w:eastAsia="zh-CN"/>
        </w:rPr>
        <w:t>我校无独立的三定方案。</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ind w:firstLine="640" w:firstLineChars="200"/>
        <w:rPr>
          <w:rFonts w:ascii="仿宋" w:hAnsi="仿宋" w:eastAsia="仿宋"/>
          <w:sz w:val="32"/>
          <w:szCs w:val="32"/>
        </w:rPr>
      </w:pPr>
      <w:r>
        <w:rPr>
          <w:rFonts w:hint="eastAsia" w:ascii="仿宋" w:hAnsi="仿宋" w:eastAsia="仿宋"/>
          <w:sz w:val="32"/>
          <w:szCs w:val="32"/>
        </w:rPr>
        <w:t>纳入本部门（单位）预算编制范围的二级预算单位包括：</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嘉黎镇第二幼儿园</w:t>
      </w:r>
      <w:r>
        <w:rPr>
          <w:rFonts w:hint="eastAsia" w:ascii="方正小标宋简体" w:hAnsi="仿宋" w:eastAsia="方正小标宋简体"/>
          <w:sz w:val="32"/>
          <w:szCs w:val="32"/>
        </w:rPr>
        <w:t>（部门/单位）202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jc w:val="both"/>
        <w:rPr>
          <w:rFonts w:hint="eastAsia" w:ascii="黑体" w:hAnsi="黑体" w:eastAsia="黑体"/>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嘉黎镇第二幼儿园</w:t>
      </w:r>
      <w:r>
        <w:rPr>
          <w:rFonts w:hint="eastAsia" w:ascii="方正小标宋简体" w:hAnsi="仿宋" w:eastAsia="方正小标宋简体"/>
          <w:sz w:val="32"/>
          <w:szCs w:val="32"/>
        </w:rPr>
        <w:t>（部门/单位）202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lang w:val="en-US" w:eastAsia="zh-CN"/>
        </w:rPr>
        <w:t>185.65</w:t>
      </w:r>
      <w:r>
        <w:rPr>
          <w:rFonts w:hint="eastAsia" w:ascii="仿宋" w:hAnsi="仿宋" w:eastAsia="仿宋"/>
          <w:sz w:val="32"/>
          <w:szCs w:val="32"/>
        </w:rPr>
        <w:t>万元。收入包括：一般公共预算拨款收入</w:t>
      </w:r>
      <w:r>
        <w:rPr>
          <w:rFonts w:hint="eastAsia" w:ascii="仿宋" w:hAnsi="仿宋" w:eastAsia="仿宋"/>
          <w:sz w:val="32"/>
          <w:szCs w:val="32"/>
          <w:lang w:eastAsia="zh-CN"/>
        </w:rPr>
        <w:t>，上年结转收入</w:t>
      </w:r>
      <w:r>
        <w:rPr>
          <w:rFonts w:hint="eastAsia" w:ascii="仿宋" w:hAnsi="仿宋" w:eastAsia="仿宋"/>
          <w:sz w:val="32"/>
          <w:szCs w:val="32"/>
        </w:rPr>
        <w:t>；支出包括：教育支出、社会保障和就业支出、卫生健康支出、住房保障支出。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lang w:val="en-US" w:eastAsia="zh-CN"/>
        </w:rPr>
        <w:t>185.65</w:t>
      </w:r>
      <w:r>
        <w:rPr>
          <w:rFonts w:hint="eastAsia" w:ascii="仿宋" w:hAnsi="仿宋" w:eastAsia="仿宋"/>
          <w:sz w:val="32"/>
          <w:szCs w:val="32"/>
        </w:rPr>
        <w:t>万元，同比</w:t>
      </w:r>
      <w:r>
        <w:rPr>
          <w:rFonts w:hint="eastAsia" w:ascii="仿宋" w:hAnsi="仿宋" w:eastAsia="仿宋"/>
          <w:sz w:val="32"/>
          <w:szCs w:val="32"/>
          <w:lang w:val="en-US" w:eastAsia="zh-CN"/>
        </w:rPr>
        <w:t>增加93.72</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人员增加等</w:t>
      </w:r>
      <w:r>
        <w:rPr>
          <w:rFonts w:hint="eastAsia" w:ascii="仿宋" w:hAnsi="仿宋" w:eastAsia="仿宋"/>
          <w:sz w:val="32"/>
          <w:szCs w:val="32"/>
        </w:rPr>
        <w:t>。其中：2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年一般公共预算拨款收入</w:t>
      </w:r>
      <w:r>
        <w:rPr>
          <w:rFonts w:hint="eastAsia" w:ascii="仿宋" w:hAnsi="仿宋" w:eastAsia="仿宋"/>
          <w:sz w:val="32"/>
          <w:szCs w:val="32"/>
          <w:u w:val="single"/>
          <w:lang w:val="en-US" w:eastAsia="zh-CN"/>
        </w:rPr>
        <w:t>174.75</w:t>
      </w:r>
      <w:r>
        <w:rPr>
          <w:rFonts w:hint="eastAsia" w:ascii="仿宋" w:hAnsi="仿宋" w:eastAsia="仿宋"/>
          <w:sz w:val="32"/>
          <w:szCs w:val="32"/>
        </w:rPr>
        <w:t>万元，占</w:t>
      </w:r>
      <w:r>
        <w:rPr>
          <w:rFonts w:hint="eastAsia" w:ascii="仿宋" w:hAnsi="仿宋" w:eastAsia="仿宋"/>
          <w:sz w:val="32"/>
          <w:szCs w:val="32"/>
          <w:u w:val="single"/>
          <w:lang w:val="en-US" w:eastAsia="zh-CN"/>
        </w:rPr>
        <w:t>94.13</w:t>
      </w:r>
      <w:r>
        <w:rPr>
          <w:rFonts w:hint="eastAsia" w:ascii="仿宋" w:hAnsi="仿宋" w:eastAsia="仿宋"/>
          <w:sz w:val="32"/>
          <w:szCs w:val="32"/>
        </w:rPr>
        <w:t xml:space="preserve"> %</w:t>
      </w:r>
      <w:r>
        <w:rPr>
          <w:rFonts w:hint="eastAsia" w:ascii="仿宋" w:hAnsi="仿宋" w:eastAsia="仿宋"/>
          <w:sz w:val="32"/>
          <w:szCs w:val="32"/>
          <w:lang w:eastAsia="zh-CN"/>
        </w:rPr>
        <w:t>，上年结转收入</w:t>
      </w:r>
      <w:r>
        <w:rPr>
          <w:rFonts w:hint="eastAsia" w:ascii="仿宋" w:hAnsi="仿宋" w:eastAsia="仿宋"/>
          <w:sz w:val="32"/>
          <w:szCs w:val="32"/>
          <w:lang w:val="en-US" w:eastAsia="zh-CN"/>
        </w:rPr>
        <w:t>10.9万元，占5.87%</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lang w:val="en-US" w:eastAsia="zh-CN"/>
        </w:rPr>
        <w:t>185.65</w:t>
      </w:r>
      <w:r>
        <w:rPr>
          <w:rFonts w:hint="eastAsia" w:ascii="仿宋" w:hAnsi="仿宋" w:eastAsia="仿宋"/>
          <w:sz w:val="32"/>
          <w:szCs w:val="32"/>
        </w:rPr>
        <w:t>万元，同比</w:t>
      </w:r>
      <w:r>
        <w:rPr>
          <w:rFonts w:hint="eastAsia" w:ascii="仿宋" w:hAnsi="仿宋" w:eastAsia="仿宋"/>
          <w:sz w:val="32"/>
          <w:szCs w:val="32"/>
          <w:lang w:val="en-US" w:eastAsia="zh-CN"/>
        </w:rPr>
        <w:t>增加93.72</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人员增加等</w:t>
      </w:r>
      <w:r>
        <w:rPr>
          <w:rFonts w:hint="eastAsia" w:ascii="仿宋" w:hAnsi="仿宋" w:eastAsia="仿宋"/>
          <w:sz w:val="32"/>
          <w:szCs w:val="32"/>
        </w:rPr>
        <w:t>。其中：基本支出</w:t>
      </w:r>
      <w:r>
        <w:rPr>
          <w:rFonts w:hint="eastAsia" w:ascii="仿宋" w:hAnsi="仿宋" w:eastAsia="仿宋"/>
          <w:sz w:val="32"/>
          <w:szCs w:val="32"/>
          <w:u w:val="single"/>
          <w:lang w:val="en-US" w:eastAsia="zh-CN"/>
        </w:rPr>
        <w:t>185.65</w:t>
      </w:r>
      <w:r>
        <w:rPr>
          <w:rFonts w:hint="eastAsia" w:ascii="仿宋" w:hAnsi="仿宋" w:eastAsia="仿宋"/>
          <w:sz w:val="32"/>
          <w:szCs w:val="32"/>
        </w:rPr>
        <w:t>万元，占</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lang w:val="en-US" w:eastAsia="zh-CN"/>
        </w:rPr>
        <w:t>185.65</w:t>
      </w:r>
      <w:r>
        <w:rPr>
          <w:rFonts w:hint="eastAsia" w:ascii="仿宋" w:hAnsi="仿宋" w:eastAsia="仿宋"/>
          <w:sz w:val="32"/>
          <w:szCs w:val="32"/>
        </w:rPr>
        <w:t>万元，同比</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93.72</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人员增加等</w:t>
      </w:r>
      <w:r>
        <w:rPr>
          <w:rFonts w:hint="eastAsia" w:ascii="仿宋" w:hAnsi="仿宋" w:eastAsia="仿宋"/>
          <w:sz w:val="32"/>
          <w:szCs w:val="32"/>
        </w:rPr>
        <w:t>。收入包括：一般公共预算当年拨款收入</w:t>
      </w:r>
      <w:r>
        <w:rPr>
          <w:rFonts w:hint="eastAsia" w:ascii="仿宋" w:hAnsi="仿宋" w:eastAsia="仿宋"/>
          <w:sz w:val="32"/>
          <w:szCs w:val="32"/>
          <w:u w:val="single"/>
          <w:lang w:val="en-US" w:eastAsia="zh-CN"/>
        </w:rPr>
        <w:t>174.75</w:t>
      </w:r>
      <w:r>
        <w:rPr>
          <w:rFonts w:hint="eastAsia" w:ascii="仿宋" w:hAnsi="仿宋" w:eastAsia="仿宋"/>
          <w:sz w:val="32"/>
          <w:szCs w:val="32"/>
        </w:rPr>
        <w:t>万元</w:t>
      </w:r>
      <w:r>
        <w:rPr>
          <w:rFonts w:hint="eastAsia" w:ascii="仿宋" w:hAnsi="仿宋" w:eastAsia="仿宋"/>
          <w:sz w:val="32"/>
          <w:szCs w:val="32"/>
          <w:lang w:eastAsia="zh-CN"/>
        </w:rPr>
        <w:t>，上年结转收入</w:t>
      </w:r>
      <w:r>
        <w:rPr>
          <w:rFonts w:hint="eastAsia" w:ascii="仿宋" w:hAnsi="仿宋" w:eastAsia="仿宋"/>
          <w:sz w:val="32"/>
          <w:szCs w:val="32"/>
          <w:lang w:val="en-US" w:eastAsia="zh-CN"/>
        </w:rPr>
        <w:t>10.9万元</w:t>
      </w:r>
      <w:r>
        <w:rPr>
          <w:rFonts w:hint="eastAsia" w:ascii="仿宋" w:hAnsi="仿宋" w:eastAsia="仿宋"/>
          <w:sz w:val="32"/>
          <w:szCs w:val="32"/>
        </w:rPr>
        <w:t>；支出包括：教育支出</w:t>
      </w:r>
      <w:r>
        <w:rPr>
          <w:rFonts w:hint="eastAsia" w:ascii="仿宋" w:hAnsi="仿宋" w:eastAsia="仿宋"/>
          <w:sz w:val="32"/>
          <w:szCs w:val="32"/>
          <w:u w:val="single"/>
          <w:lang w:val="en-US" w:eastAsia="zh-CN"/>
        </w:rPr>
        <w:t>162.41</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11.98</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0.58</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10.68</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lang w:val="en-US" w:eastAsia="zh-CN"/>
        </w:rPr>
        <w:t>185.65</w:t>
      </w:r>
      <w:r>
        <w:rPr>
          <w:rFonts w:hint="eastAsia" w:ascii="仿宋" w:hAnsi="仿宋" w:eastAsia="仿宋"/>
          <w:sz w:val="32"/>
          <w:szCs w:val="32"/>
        </w:rPr>
        <w:t>万元,比</w:t>
      </w:r>
      <w:r>
        <w:rPr>
          <w:rFonts w:hint="eastAsia" w:ascii="仿宋" w:hAnsi="仿宋" w:eastAsia="仿宋"/>
          <w:sz w:val="32"/>
          <w:szCs w:val="32"/>
          <w:lang w:val="en-US" w:eastAsia="zh-CN"/>
        </w:rPr>
        <w:t>2024</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93.72</w:t>
      </w:r>
      <w:r>
        <w:rPr>
          <w:rFonts w:hint="eastAsia" w:ascii="仿宋" w:hAnsi="仿宋" w:eastAsia="仿宋"/>
          <w:sz w:val="32"/>
          <w:szCs w:val="32"/>
        </w:rPr>
        <w:t>万元，主要原因：</w:t>
      </w:r>
      <w:r>
        <w:rPr>
          <w:rFonts w:hint="eastAsia" w:ascii="仿宋" w:hAnsi="仿宋" w:eastAsia="仿宋"/>
          <w:sz w:val="32"/>
          <w:szCs w:val="32"/>
          <w:u w:val="single"/>
          <w:lang w:val="en-US" w:eastAsia="zh-CN"/>
        </w:rPr>
        <w:t>人员增加等</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185.65</w:t>
      </w:r>
      <w:r>
        <w:rPr>
          <w:rFonts w:hint="eastAsia" w:ascii="仿宋" w:hAnsi="仿宋" w:eastAsia="仿宋"/>
          <w:sz w:val="32"/>
          <w:szCs w:val="32"/>
        </w:rPr>
        <w:t>万元,主要</w:t>
      </w:r>
      <w:r>
        <w:rPr>
          <w:rFonts w:ascii="仿宋" w:hAnsi="仿宋" w:eastAsia="仿宋"/>
          <w:sz w:val="32"/>
          <w:szCs w:val="32"/>
        </w:rPr>
        <w:t>用于以下方面：</w:t>
      </w:r>
    </w:p>
    <w:p>
      <w:pPr>
        <w:rPr>
          <w:rFonts w:hint="eastAsia" w:ascii="仿宋" w:hAnsi="仿宋" w:eastAsia="仿宋"/>
          <w:sz w:val="32"/>
          <w:szCs w:val="32"/>
        </w:rPr>
      </w:pPr>
      <w:r>
        <w:rPr>
          <w:rFonts w:hint="eastAsia" w:ascii="仿宋" w:hAnsi="仿宋" w:eastAsia="仿宋"/>
          <w:sz w:val="32"/>
          <w:szCs w:val="32"/>
        </w:rPr>
        <w:t>教育支出</w:t>
      </w:r>
      <w:r>
        <w:rPr>
          <w:rFonts w:hint="eastAsia" w:ascii="仿宋" w:hAnsi="仿宋" w:eastAsia="仿宋"/>
          <w:sz w:val="32"/>
          <w:szCs w:val="32"/>
          <w:u w:val="single"/>
          <w:lang w:val="en-US" w:eastAsia="zh-CN"/>
        </w:rPr>
        <w:t>162.41</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占87.48 %</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11.98</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占6.45 %</w:t>
      </w:r>
      <w:r>
        <w:rPr>
          <w:rFonts w:hint="eastAsia" w:ascii="仿宋" w:hAnsi="仿宋" w:eastAsia="仿宋"/>
          <w:sz w:val="32"/>
          <w:szCs w:val="32"/>
        </w:rPr>
        <w:t>、卫生健康支出</w:t>
      </w:r>
      <w:r>
        <w:rPr>
          <w:rFonts w:hint="eastAsia" w:ascii="仿宋" w:hAnsi="仿宋" w:eastAsia="仿宋"/>
          <w:sz w:val="32"/>
          <w:szCs w:val="32"/>
          <w:u w:val="single"/>
          <w:lang w:val="en-US" w:eastAsia="zh-CN"/>
        </w:rPr>
        <w:t>0.58</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 0.31%</w:t>
      </w:r>
      <w:r>
        <w:rPr>
          <w:rFonts w:hint="eastAsia" w:ascii="仿宋" w:hAnsi="仿宋" w:eastAsia="仿宋"/>
          <w:sz w:val="32"/>
          <w:szCs w:val="32"/>
        </w:rPr>
        <w:t>、住房保障支出</w:t>
      </w:r>
      <w:r>
        <w:rPr>
          <w:rFonts w:hint="eastAsia" w:ascii="仿宋" w:hAnsi="仿宋" w:eastAsia="仿宋"/>
          <w:sz w:val="32"/>
          <w:szCs w:val="32"/>
          <w:u w:val="single"/>
          <w:lang w:val="en-US" w:eastAsia="zh-CN"/>
        </w:rPr>
        <w:t>10.68</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占5.75%</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1.一般公共服务支出（类）财政事务（款）行政运行（项）预算数为</w:t>
      </w:r>
      <w:r>
        <w:rPr>
          <w:rFonts w:hint="eastAsia" w:ascii="仿宋" w:hAnsi="仿宋" w:eastAsia="仿宋"/>
          <w:sz w:val="32"/>
          <w:szCs w:val="32"/>
          <w:u w:val="single"/>
          <w:lang w:val="en-US" w:eastAsia="zh-CN"/>
        </w:rPr>
        <w:t>185.65</w:t>
      </w:r>
      <w:r>
        <w:rPr>
          <w:rFonts w:hint="eastAsia" w:ascii="仿宋" w:hAnsi="仿宋" w:eastAsia="仿宋"/>
          <w:sz w:val="32"/>
          <w:szCs w:val="32"/>
        </w:rPr>
        <w:t>万元，比</w:t>
      </w:r>
      <w:r>
        <w:rPr>
          <w:rFonts w:hint="eastAsia" w:ascii="仿宋" w:hAnsi="仿宋" w:eastAsia="仿宋"/>
          <w:sz w:val="32"/>
          <w:szCs w:val="32"/>
          <w:lang w:val="en-US" w:eastAsia="zh-CN"/>
        </w:rPr>
        <w:t>2024</w:t>
      </w:r>
      <w:r>
        <w:rPr>
          <w:rFonts w:hint="eastAsia" w:ascii="仿宋" w:hAnsi="仿宋" w:eastAsia="仿宋"/>
          <w:sz w:val="32"/>
          <w:szCs w:val="32"/>
        </w:rPr>
        <w:t>年执行数</w:t>
      </w:r>
      <w:r>
        <w:rPr>
          <w:rFonts w:hint="eastAsia" w:ascii="仿宋" w:hAnsi="仿宋" w:eastAsia="仿宋"/>
          <w:sz w:val="32"/>
          <w:szCs w:val="32"/>
          <w:lang w:val="en-US" w:eastAsia="zh-CN"/>
        </w:rPr>
        <w:t>增加93.72</w:t>
      </w:r>
      <w:r>
        <w:rPr>
          <w:rFonts w:hint="eastAsia" w:ascii="仿宋" w:hAnsi="仿宋" w:eastAsia="仿宋"/>
          <w:sz w:val="32"/>
          <w:szCs w:val="32"/>
        </w:rPr>
        <w:t>万元，</w:t>
      </w:r>
      <w:r>
        <w:rPr>
          <w:rFonts w:hint="eastAsia" w:ascii="仿宋" w:hAnsi="仿宋" w:eastAsia="仿宋"/>
          <w:sz w:val="32"/>
          <w:szCs w:val="32"/>
          <w:lang w:val="en-US" w:eastAsia="zh-CN"/>
        </w:rPr>
        <w:t>增加50.48</w:t>
      </w:r>
      <w:r>
        <w:rPr>
          <w:rFonts w:hint="eastAsia" w:ascii="仿宋" w:hAnsi="仿宋" w:eastAsia="仿宋"/>
          <w:sz w:val="32"/>
          <w:szCs w:val="32"/>
        </w:rPr>
        <w:t>%。主要是</w:t>
      </w:r>
      <w:r>
        <w:rPr>
          <w:rFonts w:hint="eastAsia" w:ascii="仿宋" w:hAnsi="仿宋" w:eastAsia="仿宋"/>
          <w:sz w:val="32"/>
          <w:szCs w:val="32"/>
          <w:lang w:eastAsia="zh-CN"/>
        </w:rPr>
        <w:t>我校</w:t>
      </w:r>
      <w:r>
        <w:rPr>
          <w:rFonts w:hint="eastAsia" w:ascii="仿宋" w:hAnsi="仿宋" w:eastAsia="仿宋"/>
          <w:sz w:val="32"/>
          <w:szCs w:val="32"/>
          <w:lang w:val="en-US" w:eastAsia="zh-CN"/>
        </w:rPr>
        <w:t>人员增加</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2.一般公共服务支出（类）财政事务（款）一般行政管理事务（项）预算数为</w:t>
      </w:r>
      <w:r>
        <w:rPr>
          <w:rFonts w:hint="eastAsia" w:ascii="仿宋" w:hAnsi="仿宋" w:eastAsia="仿宋"/>
          <w:sz w:val="32"/>
          <w:szCs w:val="32"/>
          <w:u w:val="single"/>
          <w:lang w:val="en-US" w:eastAsia="zh-CN"/>
        </w:rPr>
        <w:t>0</w:t>
      </w:r>
      <w:r>
        <w:rPr>
          <w:rFonts w:hint="eastAsia" w:ascii="仿宋" w:hAnsi="仿宋" w:eastAsia="仿宋"/>
          <w:sz w:val="32"/>
          <w:szCs w:val="32"/>
        </w:rPr>
        <w:t>万元，比20</w:t>
      </w:r>
      <w:r>
        <w:rPr>
          <w:rFonts w:hint="eastAsia" w:ascii="仿宋" w:hAnsi="仿宋" w:eastAsia="仿宋"/>
          <w:sz w:val="32"/>
          <w:szCs w:val="32"/>
          <w:lang w:val="en-US" w:eastAsia="zh-CN"/>
        </w:rPr>
        <w:t>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lang w:val="en-US" w:eastAsia="zh-CN"/>
        </w:rPr>
        <w:t>0</w:t>
      </w:r>
      <w:r>
        <w:rPr>
          <w:rFonts w:hint="eastAsia" w:ascii="仿宋" w:hAnsi="仿宋" w:eastAsia="仿宋"/>
          <w:sz w:val="32"/>
          <w:szCs w:val="32"/>
        </w:rPr>
        <w:t xml:space="preserve"> %。主要是</w:t>
      </w:r>
      <w:r>
        <w:rPr>
          <w:rFonts w:hint="eastAsia" w:ascii="仿宋" w:hAnsi="仿宋" w:eastAsia="仿宋"/>
          <w:sz w:val="32"/>
          <w:szCs w:val="32"/>
          <w:lang w:eastAsia="zh-CN"/>
        </w:rPr>
        <w:t>不涉及部门预算。</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185.65</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lang w:val="en-US" w:eastAsia="zh-CN"/>
        </w:rPr>
        <w:t>169.24</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16.41</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lang w:eastAsia="zh-CN"/>
        </w:rPr>
        <w:t>、生均公用经费等</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年“三公”经费预算数为</w:t>
      </w:r>
      <w:r>
        <w:rPr>
          <w:rFonts w:hint="eastAsia" w:ascii="仿宋" w:hAnsi="仿宋" w:eastAsia="仿宋"/>
          <w:sz w:val="32"/>
          <w:szCs w:val="32"/>
          <w:u w:val="single"/>
          <w:lang w:val="en-US" w:eastAsia="zh-CN"/>
        </w:rPr>
        <w:t>0</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年增加</w:t>
      </w:r>
      <w:r>
        <w:rPr>
          <w:rFonts w:hint="eastAsia" w:ascii="仿宋" w:hAnsi="仿宋" w:eastAsia="仿宋"/>
          <w:sz w:val="32"/>
          <w:szCs w:val="32"/>
          <w:u w:val="single"/>
          <w:lang w:val="en-US" w:eastAsia="zh-CN"/>
        </w:rPr>
        <w:t>0</w:t>
      </w:r>
      <w:r>
        <w:rPr>
          <w:rFonts w:hint="eastAsia" w:ascii="仿宋" w:hAnsi="仿宋" w:eastAsia="仿宋"/>
          <w:sz w:val="32"/>
          <w:szCs w:val="32"/>
        </w:rPr>
        <w:t>万元，增长</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lang w:val="en-US" w:eastAsia="zh-CN"/>
        </w:rPr>
        <w:t>无需求</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2024年因公出国（境）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万元，主要原因：我部门（单位）202</w:t>
      </w:r>
      <w:r>
        <w:rPr>
          <w:rFonts w:hint="eastAsia" w:ascii="仿宋" w:hAnsi="仿宋" w:eastAsia="仿宋"/>
          <w:sz w:val="32"/>
          <w:szCs w:val="32"/>
          <w:lang w:val="en-US" w:eastAsia="zh-CN"/>
        </w:rPr>
        <w:t>5</w:t>
      </w:r>
      <w:r>
        <w:rPr>
          <w:rFonts w:hint="eastAsia" w:ascii="仿宋" w:hAnsi="仿宋" w:eastAsia="仿宋"/>
          <w:sz w:val="32"/>
          <w:szCs w:val="32"/>
        </w:rPr>
        <w:t>年度没有政府性基金安排的支出</w:t>
      </w:r>
      <w:r>
        <w:rPr>
          <w:rFonts w:hint="eastAsia" w:ascii="仿宋_GB2312" w:eastAsia="仿宋_GB2312" w:cs="仿宋_GB2312" w:hAnsiTheme="minorHAnsi"/>
          <w:kern w:val="0"/>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（没有数据的表格应当列出空表并说明“我部门（单位）2024年度没有政府性基金安排的支出</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lang w:eastAsia="zh-CN"/>
        </w:rPr>
        <w:t>九</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年部门（单位）机关</w:t>
      </w:r>
      <w:r>
        <w:rPr>
          <w:rFonts w:hint="eastAsia" w:ascii="仿宋" w:hAnsi="仿宋" w:eastAsia="仿宋"/>
          <w:sz w:val="32"/>
          <w:szCs w:val="32"/>
          <w:lang w:eastAsia="zh-CN"/>
        </w:rPr>
        <w:t>嘉黎县</w:t>
      </w:r>
      <w:r>
        <w:rPr>
          <w:rFonts w:hint="eastAsia" w:ascii="仿宋" w:hAnsi="仿宋" w:eastAsia="仿宋"/>
          <w:sz w:val="32"/>
          <w:szCs w:val="32"/>
          <w:lang w:val="en-US" w:eastAsia="zh-CN"/>
        </w:rPr>
        <w:t>嘉黎镇第二幼儿园</w:t>
      </w:r>
      <w:r>
        <w:rPr>
          <w:rFonts w:hint="eastAsia" w:ascii="仿宋_GB2312" w:eastAsia="仿宋_GB2312" w:cs="仿宋_GB2312" w:hAnsiTheme="minorHAnsi"/>
          <w:kern w:val="0"/>
          <w:sz w:val="32"/>
          <w:szCs w:val="32"/>
          <w:u w:val="single"/>
          <w:lang w:val="en-US" w:eastAsia="zh-CN"/>
        </w:rPr>
        <w:t>1</w:t>
      </w:r>
      <w:r>
        <w:rPr>
          <w:rFonts w:hint="eastAsia" w:ascii="仿宋" w:hAnsi="仿宋" w:eastAsia="仿宋"/>
          <w:sz w:val="32"/>
          <w:szCs w:val="32"/>
        </w:rPr>
        <w:t>家事业单位的机关运行经费财政拨款预算</w:t>
      </w:r>
      <w:r>
        <w:rPr>
          <w:rFonts w:hint="eastAsia" w:ascii="仿宋" w:hAnsi="仿宋" w:eastAsia="仿宋"/>
          <w:sz w:val="32"/>
          <w:szCs w:val="32"/>
          <w:lang w:val="en-US" w:eastAsia="zh-CN"/>
        </w:rPr>
        <w:t>16.41</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年预算增加</w:t>
      </w:r>
      <w:r>
        <w:rPr>
          <w:rFonts w:hint="eastAsia" w:ascii="仿宋_GB2312" w:eastAsia="仿宋_GB2312" w:cs="仿宋_GB2312" w:hAnsiTheme="minorHAnsi"/>
          <w:kern w:val="0"/>
          <w:sz w:val="32"/>
          <w:szCs w:val="32"/>
          <w:u w:val="single"/>
          <w:lang w:val="en-US" w:eastAsia="zh-CN"/>
        </w:rPr>
        <w:t>15.37</w:t>
      </w:r>
      <w:r>
        <w:rPr>
          <w:rFonts w:hint="eastAsia" w:ascii="仿宋" w:hAnsi="仿宋" w:eastAsia="仿宋"/>
          <w:sz w:val="32"/>
          <w:szCs w:val="32"/>
        </w:rPr>
        <w:t>万元，增长</w:t>
      </w:r>
      <w:r>
        <w:rPr>
          <w:rFonts w:hint="eastAsia" w:ascii="仿宋" w:hAnsi="仿宋" w:eastAsia="仿宋"/>
          <w:sz w:val="32"/>
          <w:szCs w:val="32"/>
          <w:lang w:val="en-US" w:eastAsia="zh-CN"/>
        </w:rPr>
        <w:t>93.66</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hint="eastAsia" w:ascii="仿宋_GB2312" w:eastAsia="仿宋_GB2312" w:cs="仿宋_GB2312" w:hAnsiTheme="minorHAnsi"/>
          <w:kern w:val="0"/>
          <w:sz w:val="32"/>
          <w:szCs w:val="32"/>
          <w:u w:val="single"/>
          <w:lang w:val="en-US" w:eastAsia="zh-CN"/>
        </w:rPr>
        <w:t>单位用氧经费增加等</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ascii="仿宋" w:hAnsi="仿宋" w:eastAsia="仿宋"/>
          <w:sz w:val="32"/>
          <w:szCs w:val="32"/>
        </w:rPr>
        <w:t>2024</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（四）2024年预算绩效情况说明。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2024年实现财政支出绩效目标管理全覆盖，实行绩效目标管理</w:t>
      </w:r>
      <w:r>
        <w:rPr>
          <w:rFonts w:hint="eastAsia" w:ascii="仿宋" w:hAnsi="仿宋" w:eastAsia="仿宋"/>
          <w:sz w:val="32"/>
          <w:szCs w:val="32"/>
          <w:lang w:val="en-US" w:eastAsia="zh-CN"/>
        </w:rPr>
        <w:t>22</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lang w:val="en-US" w:eastAsia="zh-CN"/>
        </w:rPr>
        <w:t>185.65</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lang w:val="en-US" w:eastAsia="zh-CN"/>
        </w:rPr>
        <w:t>185.65</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我校无扶贫资金</w:t>
      </w:r>
    </w:p>
    <w:p>
      <w:pPr>
        <w:ind w:firstLine="640" w:firstLineChars="200"/>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r>
        <w:rPr>
          <w:rFonts w:hint="eastAsia" w:ascii="仿宋" w:hAnsi="仿宋" w:eastAsia="仿宋"/>
          <w:sz w:val="32"/>
          <w:szCs w:val="32"/>
          <w:lang w:eastAsia="zh-CN"/>
        </w:rPr>
        <w:t>我校无政府债务。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decorative"/>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ZTI2ZGQzZGFkZmE3NDM0NmYwYjFiNDVhOThkZDIifQ=="/>
    <w:docVar w:name="KSO_WPS_MARK_KEY" w:val="7f04df49-0cab-4e8e-bd8f-5c1b365e4dc7"/>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7113E9A"/>
    <w:rsid w:val="080B3940"/>
    <w:rsid w:val="097B0F27"/>
    <w:rsid w:val="0D037CEA"/>
    <w:rsid w:val="0EDB09C2"/>
    <w:rsid w:val="14976335"/>
    <w:rsid w:val="16536837"/>
    <w:rsid w:val="179B1D58"/>
    <w:rsid w:val="1D3B61E5"/>
    <w:rsid w:val="23CE29BB"/>
    <w:rsid w:val="38236951"/>
    <w:rsid w:val="39B117AE"/>
    <w:rsid w:val="39D37D7B"/>
    <w:rsid w:val="3A2F29F8"/>
    <w:rsid w:val="459D5443"/>
    <w:rsid w:val="473462B2"/>
    <w:rsid w:val="493B49B5"/>
    <w:rsid w:val="49A14359"/>
    <w:rsid w:val="49EA5324"/>
    <w:rsid w:val="4A847483"/>
    <w:rsid w:val="5052484C"/>
    <w:rsid w:val="52F72E02"/>
    <w:rsid w:val="56860E31"/>
    <w:rsid w:val="574631ED"/>
    <w:rsid w:val="59E45AFD"/>
    <w:rsid w:val="734F4B47"/>
    <w:rsid w:val="73763C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3631</Words>
  <Characters>3885</Characters>
  <Lines>33</Lines>
  <Paragraphs>9</Paragraphs>
  <TotalTime>13</TotalTime>
  <ScaleCrop>false</ScaleCrop>
  <LinksUpToDate>false</LinksUpToDate>
  <CharactersWithSpaces>4013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2025-01-27T09:00:36Z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CE8EADCE4C8B4DE7930B8E4AF41E2D5B_13</vt:lpwstr>
  </property>
</Properties>
</file>