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嘉黎县政协办公室2025</w:t>
      </w:r>
      <w:r>
        <w:rPr>
          <w:rFonts w:hint="eastAsia" w:ascii="方正小标宋简体" w:hAnsi="仿宋" w:eastAsia="方正小标宋简体"/>
          <w:sz w:val="44"/>
          <w:szCs w:val="44"/>
        </w:rPr>
        <w:t>年度部门预算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嘉黎县政协办公室</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嘉黎县政协办公室</w:t>
      </w:r>
      <w:r>
        <w:rPr>
          <w:rFonts w:hint="eastAsia" w:ascii="方正小标宋简体" w:hAnsi="仿宋" w:eastAsia="方正小标宋简体"/>
          <w:sz w:val="32"/>
          <w:szCs w:val="32"/>
        </w:rPr>
        <w:t>部门预算明细表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嘉黎县政协办公室</w:t>
      </w:r>
      <w:r>
        <w:rPr>
          <w:rFonts w:hint="eastAsia" w:ascii="方正小标宋简体" w:hAnsi="仿宋" w:eastAsia="方正小标宋简体"/>
          <w:sz w:val="32"/>
          <w:szCs w:val="32"/>
        </w:rPr>
        <w:t>部门预算数据分析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嘉黎县政协办公室</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napToGrid w:val="0"/>
        <w:spacing w:line="520" w:lineRule="exact"/>
        <w:ind w:firstLine="640" w:firstLineChars="200"/>
        <w:rPr>
          <w:rFonts w:ascii="仿宋" w:hAnsi="仿宋" w:eastAsia="仿宋"/>
          <w:sz w:val="32"/>
          <w:szCs w:val="32"/>
        </w:rPr>
      </w:pPr>
      <w:r>
        <w:rPr>
          <w:rFonts w:hint="eastAsia" w:ascii="仿宋_GB2312" w:hAnsi="仿宋" w:eastAsia="仿宋_GB2312"/>
          <w:sz w:val="32"/>
          <w:szCs w:val="32"/>
          <w:lang w:eastAsia="zh-CN"/>
        </w:rPr>
        <w:t>政协嘉黎县委员会下设</w:t>
      </w:r>
      <w:r>
        <w:rPr>
          <w:rFonts w:hint="eastAsia" w:ascii="仿宋_GB2312" w:hAnsi="仿宋" w:eastAsia="仿宋_GB2312"/>
          <w:sz w:val="32"/>
          <w:szCs w:val="32"/>
          <w:lang w:val="en-US" w:eastAsia="zh-CN"/>
        </w:rPr>
        <w:t>1个办公室，2023年6月按照市委、县委文件要求成立2个专委会，分别为经济生态农牧科教卫体委员会、文史和文化民族宗教法治委员会。截止目前，共有人员19人。</w:t>
      </w:r>
      <w:r>
        <w:rPr>
          <w:rFonts w:hint="eastAsia" w:ascii="仿宋" w:hAnsi="仿宋" w:eastAsia="仿宋"/>
          <w:sz w:val="32"/>
          <w:szCs w:val="32"/>
        </w:rPr>
        <w:t>组织部门印发的“三定”方案文件，规定的部门主要职责。1.贯彻落实加强党对统一战线工作集中统一领导的要求，为县委发挥统战工作方面的参谋机构、组织协调机构、具体执行机构、督促检查机构的作用，协调全县统一战线各方面关系，贯彻落实党中央、自治区党委和市委、县委关于统一战线工作的决策部署，巩固壮大最广泛的统一战线。2.贯彻落实中国共产党领导的多党合作和政治协商制度，为县委同党外代表人士进行政治协商做好组织联系工作，支持党外代表人士更好发挥参政议政和民主监督作用。3.组织政协委员直接与所联系界别和本单位的群众打交道，熟悉他们的工作、生活和情绪。4.通过征集、研究和出版文史资料，帮助人们科观邸总结历史经验和教训，以史为鉴，服务社会。5.围绕国家大政方针，改革发展国家重视、人民群众普遍关注的问题，通过政协的专门去到汇集、分析，向县委政府及有关部门反映重要情况，提出意见和建议，帮助领导机关分析判断形势、进行有效决策的一项经常性、基础性工作。6.为推动政协工作提质增效，以经费的保障，确保县政协机关的各项工作有效运转。</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嘉黎县政协办2025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 xml:space="preserve">                   </w:t>
      </w:r>
    </w:p>
    <w:p>
      <w:pPr>
        <w:jc w:val="both"/>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 xml:space="preserve">                  </w:t>
      </w: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 xml:space="preserve">               </w:t>
      </w: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hint="eastAsia" w:ascii="方正小标宋简体" w:hAnsi="仿宋" w:eastAsia="方正小标宋简体"/>
          <w:sz w:val="32"/>
          <w:szCs w:val="32"/>
          <w:lang w:val="en-US" w:eastAsia="zh-CN"/>
        </w:rPr>
      </w:pPr>
    </w:p>
    <w:p>
      <w:pPr>
        <w:jc w:val="both"/>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政协办2025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1126.74</w:t>
      </w:r>
      <w:r>
        <w:rPr>
          <w:rFonts w:hint="eastAsia" w:ascii="仿宋" w:hAnsi="仿宋" w:eastAsia="仿宋"/>
          <w:sz w:val="32"/>
          <w:szCs w:val="32"/>
        </w:rPr>
        <w:t>万元。收入包括：一般公共预算拨款收入、上年结转；支出包括：一般公共服务支出、社会保障和就业支出、卫生健康支出、住房保障支出。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收入预算总量</w:t>
      </w:r>
      <w:r>
        <w:rPr>
          <w:rFonts w:hint="eastAsia" w:ascii="仿宋" w:hAnsi="仿宋" w:eastAsia="仿宋"/>
          <w:sz w:val="32"/>
          <w:szCs w:val="32"/>
          <w:lang w:val="en-US" w:eastAsia="zh-CN"/>
        </w:rPr>
        <w:t>1126.74</w:t>
      </w:r>
      <w:r>
        <w:rPr>
          <w:rFonts w:hint="eastAsia" w:ascii="仿宋" w:hAnsi="仿宋" w:eastAsia="仿宋"/>
          <w:sz w:val="32"/>
          <w:szCs w:val="32"/>
        </w:rPr>
        <w:t>万元，同比增加</w:t>
      </w:r>
      <w:r>
        <w:rPr>
          <w:rFonts w:hint="eastAsia" w:ascii="仿宋" w:hAnsi="仿宋" w:eastAsia="仿宋"/>
          <w:sz w:val="32"/>
          <w:szCs w:val="32"/>
          <w:lang w:val="en-US" w:eastAsia="zh-CN"/>
        </w:rPr>
        <w:t>266.50</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机构改革，内设机构增加</w:t>
      </w:r>
      <w:r>
        <w:rPr>
          <w:rFonts w:hint="eastAsia" w:ascii="仿宋" w:hAnsi="仿宋" w:eastAsia="仿宋"/>
          <w:sz w:val="32"/>
          <w:szCs w:val="32"/>
        </w:rPr>
        <w:t>。其中：上年结转</w:t>
      </w:r>
      <w:r>
        <w:rPr>
          <w:rFonts w:hint="eastAsia" w:ascii="仿宋" w:hAnsi="仿宋" w:eastAsia="仿宋"/>
          <w:sz w:val="32"/>
          <w:szCs w:val="32"/>
          <w:u w:val="single"/>
          <w:lang w:val="en-US" w:eastAsia="zh-CN"/>
        </w:rPr>
        <w:t>10.78</w:t>
      </w:r>
      <w:r>
        <w:rPr>
          <w:rFonts w:hint="eastAsia" w:ascii="仿宋" w:hAnsi="仿宋" w:eastAsia="仿宋"/>
          <w:sz w:val="32"/>
          <w:szCs w:val="32"/>
        </w:rPr>
        <w:t>万元， 占</w:t>
      </w:r>
      <w:r>
        <w:rPr>
          <w:rFonts w:hint="eastAsia" w:ascii="仿宋" w:hAnsi="仿宋" w:eastAsia="仿宋"/>
          <w:sz w:val="32"/>
          <w:szCs w:val="32"/>
          <w:u w:val="single"/>
          <w:lang w:val="en-US" w:eastAsia="zh-CN"/>
        </w:rPr>
        <w:t>0.9</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1115.96</w:t>
      </w:r>
      <w:r>
        <w:rPr>
          <w:rFonts w:hint="eastAsia" w:ascii="仿宋" w:hAnsi="仿宋" w:eastAsia="仿宋"/>
          <w:sz w:val="32"/>
          <w:szCs w:val="32"/>
        </w:rPr>
        <w:t>万元，占</w:t>
      </w:r>
      <w:r>
        <w:rPr>
          <w:rFonts w:hint="eastAsia" w:ascii="仿宋" w:hAnsi="仿宋" w:eastAsia="仿宋"/>
          <w:sz w:val="32"/>
          <w:szCs w:val="32"/>
          <w:u w:val="single"/>
          <w:lang w:val="en-US" w:eastAsia="zh-CN"/>
        </w:rPr>
        <w:t>99.1</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支出预算总量</w:t>
      </w:r>
      <w:r>
        <w:rPr>
          <w:rFonts w:hint="eastAsia" w:ascii="仿宋" w:hAnsi="仿宋" w:eastAsia="仿宋"/>
          <w:sz w:val="32"/>
          <w:szCs w:val="32"/>
          <w:lang w:val="en-US" w:eastAsia="zh-CN"/>
        </w:rPr>
        <w:t>1126.74</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266.50</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机构改革，内设机构增加</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872.75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77.45</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253.99</w:t>
      </w:r>
      <w:r>
        <w:rPr>
          <w:rFonts w:hint="eastAsia" w:ascii="仿宋" w:hAnsi="仿宋" w:eastAsia="仿宋"/>
          <w:sz w:val="32"/>
          <w:szCs w:val="32"/>
        </w:rPr>
        <w:t>万元，占</w:t>
      </w:r>
      <w:r>
        <w:rPr>
          <w:rFonts w:hint="eastAsia" w:ascii="仿宋" w:hAnsi="仿宋" w:eastAsia="仿宋"/>
          <w:sz w:val="32"/>
          <w:szCs w:val="32"/>
          <w:u w:val="single"/>
          <w:lang w:val="en-US" w:eastAsia="zh-CN"/>
        </w:rPr>
        <w:t>22.55</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1126.74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266.50</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机构改革，内设机构增加</w:t>
      </w:r>
      <w:r>
        <w:rPr>
          <w:rFonts w:hint="eastAsia" w:ascii="仿宋" w:hAnsi="仿宋" w:eastAsia="仿宋"/>
          <w:sz w:val="32"/>
          <w:szCs w:val="32"/>
        </w:rPr>
        <w:t>。收入包括：一般公共预算当年拨款收入</w:t>
      </w:r>
      <w:r>
        <w:rPr>
          <w:rFonts w:hint="eastAsia" w:ascii="仿宋" w:hAnsi="仿宋" w:eastAsia="仿宋"/>
          <w:sz w:val="32"/>
          <w:szCs w:val="32"/>
          <w:lang w:val="en-US" w:eastAsia="zh-CN"/>
        </w:rPr>
        <w:t>1115.96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上年结转</w:t>
      </w:r>
      <w:r>
        <w:rPr>
          <w:rFonts w:hint="eastAsia" w:ascii="仿宋" w:hAnsi="仿宋" w:eastAsia="仿宋"/>
          <w:sz w:val="32"/>
          <w:szCs w:val="32"/>
          <w:u w:val="single"/>
          <w:lang w:val="en-US" w:eastAsia="zh-CN"/>
        </w:rPr>
        <w:t>10.78万元</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928.36</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81.57</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50.62</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66.19</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1126.74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304.31</w:t>
      </w:r>
      <w:r>
        <w:rPr>
          <w:rFonts w:hint="eastAsia" w:ascii="仿宋" w:hAnsi="仿宋" w:eastAsia="仿宋"/>
          <w:sz w:val="32"/>
          <w:szCs w:val="32"/>
        </w:rPr>
        <w:t>万元，主要原因：</w:t>
      </w:r>
      <w:r>
        <w:rPr>
          <w:rFonts w:hint="eastAsia" w:ascii="仿宋" w:hAnsi="仿宋" w:eastAsia="仿宋"/>
          <w:sz w:val="32"/>
          <w:szCs w:val="32"/>
          <w:lang w:eastAsia="zh-CN"/>
        </w:rPr>
        <w:t>用氧</w:t>
      </w:r>
      <w:r>
        <w:rPr>
          <w:rFonts w:hint="eastAsia" w:ascii="仿宋" w:hAnsi="仿宋" w:eastAsia="仿宋"/>
          <w:sz w:val="32"/>
          <w:szCs w:val="32"/>
          <w:u w:val="single"/>
          <w:lang w:eastAsia="zh-CN"/>
        </w:rPr>
        <w:t>经费及人员日常公用经费提标</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一般公共预算当年拨款</w:t>
      </w:r>
      <w:r>
        <w:rPr>
          <w:rFonts w:hint="eastAsia" w:ascii="仿宋" w:hAnsi="仿宋" w:eastAsia="仿宋"/>
          <w:sz w:val="32"/>
          <w:szCs w:val="32"/>
          <w:lang w:val="en-US" w:eastAsia="zh-CN"/>
        </w:rPr>
        <w:t>1126.74</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928.36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82.39</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81.57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7.24</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50.62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66.19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5.88</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872.75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103.47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13.45</w:t>
      </w:r>
      <w:r>
        <w:rPr>
          <w:rFonts w:hint="eastAsia" w:ascii="仿宋" w:hAnsi="仿宋" w:eastAsia="仿宋"/>
          <w:sz w:val="32"/>
          <w:szCs w:val="32"/>
        </w:rPr>
        <w:t>%。主要是</w:t>
      </w:r>
      <w:r>
        <w:rPr>
          <w:rFonts w:hint="eastAsia" w:ascii="仿宋" w:hAnsi="仿宋" w:eastAsia="仿宋"/>
          <w:sz w:val="32"/>
          <w:szCs w:val="32"/>
          <w:lang w:eastAsia="zh-CN"/>
        </w:rPr>
        <w:t>人员机构增加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253.99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200.83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377.78</w:t>
      </w:r>
      <w:r>
        <w:rPr>
          <w:rFonts w:hint="eastAsia" w:ascii="仿宋" w:hAnsi="仿宋" w:eastAsia="仿宋"/>
          <w:sz w:val="32"/>
          <w:szCs w:val="32"/>
        </w:rPr>
        <w:t>%。主要是</w:t>
      </w:r>
      <w:r>
        <w:rPr>
          <w:rFonts w:hint="eastAsia" w:ascii="仿宋" w:hAnsi="仿宋" w:eastAsia="仿宋"/>
          <w:sz w:val="32"/>
          <w:szCs w:val="32"/>
          <w:lang w:eastAsia="zh-CN"/>
        </w:rPr>
        <w:t>“嘉事好商量”项目等支出增加</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872.75</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814.99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57.76</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35.71</w:t>
      </w:r>
      <w:r>
        <w:rPr>
          <w:rFonts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lang w:eastAsia="zh-CN"/>
        </w:rPr>
        <w:t>由于机构改革等内设机构活动增加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2025年度</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万元，主要原因：我部门</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不涉及</w:t>
      </w:r>
      <w:r>
        <w:rPr>
          <w:rFonts w:hint="eastAsia" w:ascii="仿宋" w:hAnsi="仿宋" w:eastAsia="仿宋"/>
          <w:sz w:val="32"/>
          <w:szCs w:val="32"/>
        </w:rPr>
        <w:t>政府性基金安排的支出</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lang w:eastAsia="zh-CN"/>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年部门机关</w:t>
      </w:r>
      <w:r>
        <w:rPr>
          <w:rFonts w:hint="eastAsia" w:ascii="仿宋" w:hAnsi="仿宋" w:eastAsia="仿宋"/>
          <w:sz w:val="32"/>
          <w:szCs w:val="32"/>
          <w:lang w:eastAsia="zh-CN"/>
        </w:rPr>
        <w:t>政协</w:t>
      </w:r>
      <w:r>
        <w:rPr>
          <w:rFonts w:hint="eastAsia" w:ascii="仿宋" w:hAnsi="仿宋" w:eastAsia="仿宋"/>
          <w:sz w:val="32"/>
          <w:szCs w:val="32"/>
        </w:rPr>
        <w:t>等</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家行政单位的机关运行经费财政拨款预算</w:t>
      </w:r>
      <w:r>
        <w:rPr>
          <w:rFonts w:hint="eastAsia" w:ascii="仿宋_GB2312" w:eastAsia="仿宋_GB2312" w:cs="仿宋_GB2312" w:hAnsiTheme="minorHAnsi"/>
          <w:kern w:val="0"/>
          <w:sz w:val="32"/>
          <w:szCs w:val="32"/>
          <w:u w:val="single"/>
          <w:lang w:val="en-US" w:eastAsia="zh-CN"/>
        </w:rPr>
        <w:t>57.76</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8.56</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14.82</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eastAsia="zh-CN"/>
        </w:rPr>
        <w:t>日常公用经费标准提高以及新增用氧经费</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2025年度</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1126.74</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1126.74</w:t>
      </w:r>
      <w:r>
        <w:rPr>
          <w:rFonts w:hint="eastAsia" w:ascii="仿宋" w:hAnsi="仿宋" w:eastAsia="仿宋"/>
          <w:sz w:val="32"/>
          <w:szCs w:val="32"/>
        </w:rPr>
        <w:t>万元。</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我办无扶贫资金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我单位无债务。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both"/>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250CE7"/>
    <w:rsid w:val="0CBA031F"/>
    <w:rsid w:val="0FD803E0"/>
    <w:rsid w:val="13B363E0"/>
    <w:rsid w:val="21C8454E"/>
    <w:rsid w:val="309F62AC"/>
    <w:rsid w:val="32A233A1"/>
    <w:rsid w:val="45BD7EF6"/>
    <w:rsid w:val="4A9174E4"/>
    <w:rsid w:val="4D1B2411"/>
    <w:rsid w:val="59F861A7"/>
    <w:rsid w:val="5D5C6839"/>
    <w:rsid w:val="5F452FB3"/>
    <w:rsid w:val="641A2222"/>
    <w:rsid w:val="65D2271B"/>
    <w:rsid w:val="6AF4761E"/>
    <w:rsid w:val="6D3B7744"/>
    <w:rsid w:val="6E0E2D33"/>
    <w:rsid w:val="70562E59"/>
    <w:rsid w:val="7E4C4244"/>
    <w:rsid w:val="7E64074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2025-01-23T10:46:14Z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