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嘉黎镇第一幼儿园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嘉黎镇第一幼儿园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481.67</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481.67</w:t>
      </w:r>
      <w:r>
        <w:rPr>
          <w:rFonts w:hint="eastAsia" w:ascii="仿宋" w:hAnsi="仿宋" w:eastAsia="仿宋"/>
          <w:sz w:val="32"/>
          <w:szCs w:val="32"/>
        </w:rPr>
        <w:t>万元，同比</w:t>
      </w:r>
      <w:r>
        <w:rPr>
          <w:rFonts w:hint="eastAsia" w:ascii="仿宋" w:hAnsi="仿宋" w:eastAsia="仿宋"/>
          <w:sz w:val="32"/>
          <w:szCs w:val="32"/>
          <w:lang w:val="en-US" w:eastAsia="zh-CN"/>
        </w:rPr>
        <w:t>增加210.54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462.03</w:t>
      </w:r>
      <w:r>
        <w:rPr>
          <w:rFonts w:hint="eastAsia" w:ascii="仿宋" w:hAnsi="仿宋" w:eastAsia="仿宋"/>
          <w:sz w:val="32"/>
          <w:szCs w:val="32"/>
        </w:rPr>
        <w:t>万元，占</w:t>
      </w:r>
      <w:r>
        <w:rPr>
          <w:rFonts w:hint="eastAsia" w:ascii="仿宋" w:hAnsi="仿宋" w:eastAsia="仿宋"/>
          <w:sz w:val="32"/>
          <w:szCs w:val="32"/>
          <w:u w:val="single"/>
          <w:lang w:val="en-US" w:eastAsia="zh-CN"/>
        </w:rPr>
        <w:t>95.9</w:t>
      </w:r>
      <w:r>
        <w:rPr>
          <w:rFonts w:hint="eastAsia" w:ascii="仿宋" w:hAnsi="仿宋" w:eastAsia="仿宋"/>
          <w:sz w:val="32"/>
          <w:szCs w:val="32"/>
        </w:rPr>
        <w:t xml:space="preserve"> %</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19.65万元，占4.08%</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481.67</w:t>
      </w:r>
      <w:r>
        <w:rPr>
          <w:rFonts w:hint="eastAsia" w:ascii="仿宋" w:hAnsi="仿宋" w:eastAsia="仿宋"/>
          <w:sz w:val="32"/>
          <w:szCs w:val="32"/>
        </w:rPr>
        <w:t>万元，同比</w:t>
      </w:r>
      <w:r>
        <w:rPr>
          <w:rFonts w:hint="eastAsia" w:ascii="仿宋" w:hAnsi="仿宋" w:eastAsia="仿宋"/>
          <w:sz w:val="32"/>
          <w:szCs w:val="32"/>
          <w:lang w:val="en-US" w:eastAsia="zh-CN"/>
        </w:rPr>
        <w:t>增加210.54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481.67</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481.67</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210.54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462.03</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19.65万元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436.87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24.88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18.73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481.67</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22.17</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481.67</w:t>
      </w:r>
      <w:r>
        <w:rPr>
          <w:rFonts w:hint="eastAsia" w:ascii="仿宋" w:hAnsi="仿宋" w:eastAsia="仿宋"/>
          <w:sz w:val="32"/>
          <w:szCs w:val="32"/>
        </w:rPr>
        <w:t>万元,主要</w:t>
      </w:r>
      <w:r>
        <w:rPr>
          <w:rFonts w:ascii="仿宋" w:hAnsi="仿宋" w:eastAsia="仿宋"/>
          <w:sz w:val="32"/>
          <w:szCs w:val="32"/>
        </w:rPr>
        <w:t>用于以下方面：</w:t>
      </w:r>
    </w:p>
    <w:p>
      <w:pPr>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u w:val="single"/>
          <w:lang w:val="en-US" w:eastAsia="zh-CN"/>
        </w:rPr>
        <w:t>436.87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占90.7%</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24.88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占5.17%</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占0.25%</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18.73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占3.89%</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481.67</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增加22.17</w:t>
      </w:r>
      <w:r>
        <w:rPr>
          <w:rFonts w:hint="eastAsia" w:ascii="仿宋" w:hAnsi="仿宋" w:eastAsia="仿宋"/>
          <w:sz w:val="32"/>
          <w:szCs w:val="32"/>
        </w:rPr>
        <w:t>万元，</w:t>
      </w:r>
      <w:r>
        <w:rPr>
          <w:rFonts w:hint="eastAsia" w:ascii="仿宋" w:hAnsi="仿宋" w:eastAsia="仿宋"/>
          <w:sz w:val="32"/>
          <w:szCs w:val="32"/>
          <w:lang w:val="en-US" w:eastAsia="zh-CN"/>
        </w:rPr>
        <w:t>增加4.6</w:t>
      </w:r>
      <w:r>
        <w:rPr>
          <w:rFonts w:hint="eastAsia" w:ascii="仿宋" w:hAnsi="仿宋" w:eastAsia="仿宋"/>
          <w:sz w:val="32"/>
          <w:szCs w:val="32"/>
        </w:rPr>
        <w:t>%。主要是</w:t>
      </w:r>
      <w:r>
        <w:rPr>
          <w:rFonts w:hint="eastAsia" w:ascii="仿宋" w:hAnsi="仿宋" w:eastAsia="仿宋"/>
          <w:sz w:val="32"/>
          <w:szCs w:val="32"/>
          <w:lang w:eastAsia="zh-CN"/>
        </w:rPr>
        <w:t>我校</w:t>
      </w:r>
      <w:r>
        <w:rPr>
          <w:rFonts w:hint="eastAsia" w:ascii="仿宋" w:hAnsi="仿宋" w:eastAsia="仿宋"/>
          <w:sz w:val="32"/>
          <w:szCs w:val="32"/>
          <w:lang w:val="en-US" w:eastAsia="zh-CN"/>
        </w:rPr>
        <w:t>人员增加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481.67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462.03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19.65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嘉黎镇第一幼儿园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19.65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16.4</w:t>
      </w:r>
      <w:r>
        <w:rPr>
          <w:rFonts w:hint="eastAsia" w:ascii="仿宋" w:hAnsi="仿宋" w:eastAsia="仿宋"/>
          <w:sz w:val="32"/>
          <w:szCs w:val="32"/>
        </w:rPr>
        <w:t>万元，增长</w:t>
      </w:r>
      <w:r>
        <w:rPr>
          <w:rFonts w:hint="eastAsia" w:ascii="仿宋" w:hAnsi="仿宋" w:eastAsia="仿宋"/>
          <w:sz w:val="32"/>
          <w:szCs w:val="32"/>
          <w:lang w:val="en-US" w:eastAsia="zh-CN"/>
        </w:rPr>
        <w:t>83.46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481.67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481.67</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0EDB09C2"/>
    <w:rsid w:val="16536837"/>
    <w:rsid w:val="179B1D58"/>
    <w:rsid w:val="1D3B61E5"/>
    <w:rsid w:val="23CE29BB"/>
    <w:rsid w:val="38236951"/>
    <w:rsid w:val="39B117AE"/>
    <w:rsid w:val="39D37D7B"/>
    <w:rsid w:val="3A2F29F8"/>
    <w:rsid w:val="459D5443"/>
    <w:rsid w:val="473462B2"/>
    <w:rsid w:val="493B49B5"/>
    <w:rsid w:val="49A14359"/>
    <w:rsid w:val="49EA5324"/>
    <w:rsid w:val="4A847483"/>
    <w:rsid w:val="5052484C"/>
    <w:rsid w:val="52F72E02"/>
    <w:rsid w:val="56860E31"/>
    <w:rsid w:val="574631ED"/>
    <w:rsid w:val="734F4B47"/>
    <w:rsid w:val="73763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38</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2025-01-26T15:54:17Z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