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西藏那曲嘉黎县住房和城乡建设局202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年度部门预算公开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44"/>
          <w:szCs w:val="44"/>
        </w:rPr>
      </w:pPr>
      <w:r>
        <w:rPr>
          <w:rFonts w:hint="eastAsia" w:ascii="仿宋" w:hAnsi="仿宋" w:eastAsia="仿宋"/>
          <w:sz w:val="44"/>
          <w:szCs w:val="44"/>
        </w:rPr>
        <w:t xml:space="preserve">    202</w:t>
      </w:r>
      <w:r>
        <w:rPr>
          <w:rFonts w:hint="eastAsia" w:ascii="仿宋" w:hAnsi="仿宋" w:eastAsia="仿宋"/>
          <w:sz w:val="44"/>
          <w:szCs w:val="44"/>
          <w:lang w:val="en-US" w:eastAsia="zh-CN"/>
        </w:rPr>
        <w:t>5</w:t>
      </w:r>
      <w:r>
        <w:rPr>
          <w:rFonts w:hint="eastAsia" w:ascii="仿宋" w:hAnsi="仿宋" w:eastAsia="仿宋"/>
          <w:sz w:val="44"/>
          <w:szCs w:val="44"/>
        </w:rPr>
        <w:t>年01月</w:t>
      </w:r>
      <w:r>
        <w:rPr>
          <w:rFonts w:hint="eastAsia" w:ascii="仿宋" w:hAnsi="仿宋" w:eastAsia="仿宋"/>
          <w:sz w:val="44"/>
          <w:szCs w:val="44"/>
          <w:lang w:val="en-US" w:eastAsia="zh-CN"/>
        </w:rPr>
        <w:t>23</w:t>
      </w:r>
      <w:r>
        <w:rPr>
          <w:rFonts w:hint="eastAsia" w:ascii="仿宋" w:hAnsi="仿宋" w:eastAsia="仿宋"/>
          <w:sz w:val="44"/>
          <w:szCs w:val="44"/>
        </w:rPr>
        <w:t>日</w:t>
      </w: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r>
        <w:rPr>
          <w:rFonts w:hint="eastAsia" w:ascii="方正小标宋简体" w:hAnsi="仿宋" w:eastAsia="方正小标宋简体"/>
          <w:sz w:val="32"/>
          <w:szCs w:val="32"/>
        </w:rPr>
        <w:t xml:space="preserve">第一部分 </w:t>
      </w:r>
      <w:r>
        <w:rPr>
          <w:rFonts w:hint="eastAsia" w:ascii="黑体" w:hAnsi="黑体" w:eastAsia="黑体"/>
          <w:sz w:val="32"/>
          <w:szCs w:val="32"/>
        </w:rPr>
        <w:t>嘉黎县住房和城乡建设局概况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黑体" w:hAnsi="黑体" w:eastAsia="黑体"/>
          <w:sz w:val="32"/>
          <w:szCs w:val="32"/>
        </w:rPr>
        <w:t>嘉黎县住房和城乡建设局</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年度部门预算明细表</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黑体" w:hAnsi="黑体" w:eastAsia="黑体"/>
          <w:sz w:val="32"/>
          <w:szCs w:val="32"/>
        </w:rPr>
        <w:t>嘉黎县住房和城乡建设局</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年度部门预算数据分析</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八、政府性基金预算支出情况表</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黑体" w:hAnsi="黑体" w:eastAsia="黑体"/>
          <w:sz w:val="32"/>
          <w:szCs w:val="32"/>
        </w:rPr>
      </w:pPr>
      <w:r>
        <w:rPr>
          <w:rFonts w:hint="eastAsia" w:ascii="黑体" w:hAnsi="黑体" w:eastAsia="黑体"/>
          <w:sz w:val="32"/>
          <w:szCs w:val="32"/>
        </w:rPr>
        <w:t xml:space="preserve">  </w:t>
      </w:r>
      <w:r>
        <w:rPr>
          <w:rFonts w:hint="eastAsia" w:ascii="方正小标宋简体" w:hAnsi="仿宋" w:eastAsia="方正小标宋简体"/>
          <w:sz w:val="32"/>
          <w:szCs w:val="32"/>
        </w:rPr>
        <w:t>第四部分  名词解释</w:t>
      </w:r>
    </w:p>
    <w:p>
      <w:pPr>
        <w:rPr>
          <w:rFonts w:ascii="黑体" w:hAnsi="黑体" w:eastAsia="黑体"/>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 第一部分  嘉黎县住房和城乡建设局概况</w:t>
      </w:r>
    </w:p>
    <w:p>
      <w:pPr>
        <w:pStyle w:val="11"/>
        <w:numPr>
          <w:ilvl w:val="0"/>
          <w:numId w:val="1"/>
        </w:numPr>
        <w:ind w:firstLineChars="0"/>
        <w:rPr>
          <w:rFonts w:ascii="黑体" w:hAnsi="黑体" w:eastAsia="黑体"/>
          <w:sz w:val="32"/>
          <w:szCs w:val="32"/>
        </w:rPr>
      </w:pPr>
      <w:r>
        <w:rPr>
          <w:rFonts w:hint="eastAsia" w:ascii="黑体" w:hAnsi="黑体" w:eastAsia="黑体"/>
          <w:sz w:val="32"/>
          <w:szCs w:val="32"/>
        </w:rPr>
        <w:t>主要职能</w:t>
      </w:r>
    </w:p>
    <w:p>
      <w:pPr>
        <w:pStyle w:val="11"/>
        <w:ind w:firstLine="0" w:firstLineChars="0"/>
        <w:rPr>
          <w:sz w:val="32"/>
          <w:szCs w:val="32"/>
        </w:rPr>
      </w:pPr>
      <w:r>
        <w:rPr>
          <w:rFonts w:hint="eastAsia"/>
          <w:sz w:val="32"/>
          <w:szCs w:val="32"/>
        </w:rPr>
        <w:t xml:space="preserve">    1.</w:t>
      </w:r>
      <w:r>
        <w:rPr>
          <w:sz w:val="32"/>
          <w:szCs w:val="32"/>
        </w:rPr>
        <w:t>贯彻执行</w:t>
      </w:r>
      <w:r>
        <w:rPr>
          <w:rFonts w:hint="eastAsia"/>
          <w:sz w:val="32"/>
          <w:szCs w:val="32"/>
          <w:lang w:eastAsia="zh-CN"/>
        </w:rPr>
        <w:t>国家及自治区、市关于</w:t>
      </w:r>
      <w:r>
        <w:rPr>
          <w:sz w:val="32"/>
          <w:szCs w:val="32"/>
        </w:rPr>
        <w:t>住房和城乡建设相关法规</w:t>
      </w:r>
      <w:r>
        <w:rPr>
          <w:rFonts w:hint="eastAsia"/>
          <w:sz w:val="32"/>
          <w:szCs w:val="32"/>
        </w:rPr>
        <w:t>: 贯彻执行住房和城乡建设相关法规和规范性文件，参与起草住房和城乡建设相关地方性法规草案和政府规章草案、提出政策建议。</w:t>
      </w:r>
    </w:p>
    <w:p>
      <w:pPr>
        <w:pStyle w:val="11"/>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2.负责城镇中低收入家庭住房保障工作:拟定相关政策并实施、制定全县范围发展规划、制定住房年度计划。</w:t>
      </w:r>
    </w:p>
    <w:p>
      <w:pPr>
        <w:pStyle w:val="11"/>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3.负责推进住房制度改革:拟定全县住房政策、指导制度改革、建设规划并实施、指导监督全县公有房屋管理工作。</w:t>
      </w:r>
    </w:p>
    <w:p>
      <w:pPr>
        <w:pStyle w:val="11"/>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4.建立科学规范的工程建设标准体系：拟定建设项目可行性研究方法、经济参数、建设标准和工程造价的管理指导，指导监督各类工程建设标准定额的实施和工程造价计价，监督之下广告位服务设施建设标准。</w:t>
      </w:r>
    </w:p>
    <w:p>
      <w:pPr>
        <w:pStyle w:val="11"/>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5.负责全县人民防空工作：组织编制城市综合防护建设发展、人民防空建设、城市地下空间开发利用和重要目标防护建设。</w:t>
      </w:r>
    </w:p>
    <w:p>
      <w:pPr>
        <w:pStyle w:val="11"/>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6.负责全县建筑工程质量安全监督管理工作：负责行业质量管理工作，拟定全县建筑工程质量、建筑安全生产和竣工验收备案的地方性政策、规章制度并监督实施。拟定全县建筑业工程勘察设计咨询的地方性政策并实施房屋建筑和市政工作重大质量、安全事故调查处理。</w:t>
      </w:r>
    </w:p>
    <w:p>
      <w:pPr>
        <w:pStyle w:val="11"/>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7.推进行业科技发展和建筑节能、指导全县减排工作：拟定行业科技发展规划和建筑节能的政策、规划并监督实施。</w:t>
      </w:r>
    </w:p>
    <w:p>
      <w:pPr>
        <w:pStyle w:val="11"/>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8.发展全县住房公积金监督管理：参与拟定全县住房公积金政策、发展规划并组织实施，制度住房公积金缴存、使用和监督制度，使用和安全、管理信息系统。</w:t>
      </w:r>
    </w:p>
    <w:p>
      <w:pPr>
        <w:pStyle w:val="11"/>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9.全县重点（镇）的建设：拟定全县村镇建设发展规划、政策、技术标准并监督实施。农牧区住房建设和安全及危房改造。</w:t>
      </w:r>
    </w:p>
    <w:p>
      <w:pPr>
        <w:pStyle w:val="11"/>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10.负责行业人才工作：制定行业人才培训规划。</w:t>
      </w:r>
    </w:p>
    <w:p>
      <w:pPr>
        <w:pStyle w:val="11"/>
        <w:ind w:firstLine="640"/>
        <w:rPr>
          <w:rFonts w:hint="eastAsia" w:asciiTheme="majorEastAsia" w:hAnsiTheme="majorEastAsia" w:eastAsiaTheme="majorEastAsia"/>
          <w:sz w:val="32"/>
          <w:szCs w:val="32"/>
        </w:rPr>
      </w:pPr>
      <w:r>
        <w:rPr>
          <w:rFonts w:hint="eastAsia" w:asciiTheme="majorEastAsia" w:hAnsiTheme="majorEastAsia" w:eastAsiaTheme="majorEastAsia"/>
          <w:sz w:val="32"/>
          <w:szCs w:val="32"/>
        </w:rPr>
        <w:t>1</w:t>
      </w:r>
      <w:r>
        <w:rPr>
          <w:rFonts w:hint="eastAsia" w:asciiTheme="majorEastAsia" w:hAnsiTheme="majorEastAsia" w:eastAsiaTheme="majorEastAsia"/>
          <w:sz w:val="32"/>
          <w:szCs w:val="32"/>
          <w:lang w:val="en-US" w:eastAsia="zh-CN"/>
        </w:rPr>
        <w:t>1</w:t>
      </w:r>
      <w:r>
        <w:rPr>
          <w:rFonts w:hint="eastAsia" w:asciiTheme="majorEastAsia" w:hAnsiTheme="majorEastAsia" w:eastAsiaTheme="majorEastAsia"/>
          <w:sz w:val="32"/>
          <w:szCs w:val="32"/>
        </w:rPr>
        <w:t>.建筑市场监督管理工作:指导全县建筑活动、指导监督建筑市场准入和房屋、市政工程项目招投标活动。</w:t>
      </w:r>
    </w:p>
    <w:p>
      <w:pPr>
        <w:pStyle w:val="11"/>
        <w:ind w:firstLine="640"/>
        <w:rPr>
          <w:rFonts w:asciiTheme="majorEastAsia" w:hAnsiTheme="majorEastAsia" w:eastAsiaTheme="majorEastAsia"/>
          <w:sz w:val="32"/>
          <w:szCs w:val="32"/>
        </w:rPr>
      </w:pPr>
      <w:r>
        <w:rPr>
          <w:rFonts w:hint="eastAsia" w:asciiTheme="majorEastAsia" w:hAnsiTheme="majorEastAsia" w:eastAsiaTheme="majorEastAsia"/>
          <w:sz w:val="32"/>
          <w:szCs w:val="32"/>
          <w:lang w:val="en-US" w:eastAsia="zh-CN"/>
        </w:rPr>
        <w:t>12、</w:t>
      </w:r>
      <w:r>
        <w:rPr>
          <w:rFonts w:hint="eastAsia" w:asciiTheme="majorEastAsia" w:hAnsiTheme="majorEastAsia" w:eastAsiaTheme="majorEastAsia"/>
          <w:sz w:val="32"/>
          <w:szCs w:val="32"/>
        </w:rPr>
        <w:t>负责地下管线、给排水管道、供暖管道、消防低效管道、等城市低效设施及井盖设施、消防栓、负责审批城市道路霸占、组织实施路面回填回复工作。参与城市基础设施相关技术项目的规定点、涉及、事施工、晕验收等工作。指导城镇污水处理设施、垃圾处理设施及配套工程的建设管理。历史文化名城（镇、村）的保护和监督管理工作。拟定行业科技发展规划和建筑节能的政策、规划并监督实施。</w:t>
      </w:r>
    </w:p>
    <w:p>
      <w:pPr>
        <w:ind w:firstLine="640" w:firstLineChars="200"/>
        <w:rPr>
          <w:rFonts w:asciiTheme="majorEastAsia" w:hAnsiTheme="majorEastAsia" w:eastAsiaTheme="majorEastAsia"/>
          <w:sz w:val="32"/>
          <w:szCs w:val="32"/>
        </w:rPr>
      </w:pPr>
      <w:r>
        <w:rPr>
          <w:rFonts w:hint="eastAsia" w:asciiTheme="majorEastAsia" w:hAnsiTheme="majorEastAsia" w:eastAsiaTheme="majorEastAsia"/>
          <w:sz w:val="32"/>
          <w:szCs w:val="32"/>
        </w:rPr>
        <w:t>1</w:t>
      </w:r>
      <w:r>
        <w:rPr>
          <w:rFonts w:hint="eastAsia" w:asciiTheme="majorEastAsia" w:hAnsiTheme="majorEastAsia" w:eastAsiaTheme="majorEastAsia"/>
          <w:sz w:val="32"/>
          <w:szCs w:val="32"/>
          <w:lang w:val="en-US" w:eastAsia="zh-CN"/>
        </w:rPr>
        <w:t>3</w:t>
      </w:r>
      <w:r>
        <w:rPr>
          <w:rFonts w:hint="eastAsia" w:asciiTheme="majorEastAsia" w:hAnsiTheme="majorEastAsia" w:eastAsiaTheme="majorEastAsia"/>
          <w:sz w:val="32"/>
          <w:szCs w:val="32"/>
        </w:rPr>
        <w:t>.指导城市建设:拟定城市建设的政策、规划并指导实施，指导全县建设工程防火减灾的综合管理，指导城镇污水处理设施、垃圾处理设施及配套工程的建设管理。</w:t>
      </w:r>
    </w:p>
    <w:p>
      <w:pPr>
        <w:pStyle w:val="11"/>
        <w:ind w:firstLine="640"/>
        <w:rPr>
          <w:rFonts w:hint="eastAsia" w:asciiTheme="majorEastAsia" w:hAnsiTheme="majorEastAsia" w:eastAsiaTheme="majorEastAsia"/>
          <w:sz w:val="32"/>
          <w:szCs w:val="32"/>
        </w:rPr>
      </w:pPr>
      <w:r>
        <w:rPr>
          <w:rFonts w:hint="eastAsia" w:asciiTheme="majorEastAsia" w:hAnsiTheme="majorEastAsia" w:eastAsiaTheme="majorEastAsia"/>
          <w:sz w:val="32"/>
          <w:szCs w:val="32"/>
        </w:rPr>
        <w:t>1</w:t>
      </w:r>
      <w:r>
        <w:rPr>
          <w:rFonts w:hint="eastAsia" w:asciiTheme="majorEastAsia" w:hAnsiTheme="majorEastAsia" w:eastAsiaTheme="majorEastAsia"/>
          <w:sz w:val="32"/>
          <w:szCs w:val="32"/>
          <w:lang w:val="en-US" w:eastAsia="zh-CN"/>
        </w:rPr>
        <w:t>4</w:t>
      </w:r>
      <w:r>
        <w:rPr>
          <w:rFonts w:hint="eastAsia" w:asciiTheme="majorEastAsia" w:hAnsiTheme="majorEastAsia" w:eastAsiaTheme="majorEastAsia"/>
          <w:sz w:val="32"/>
          <w:szCs w:val="32"/>
        </w:rPr>
        <w:t>.全县城市（镇）管理:政策研究、业务指导、组织协调、监督检查和考核评价改造。</w:t>
      </w:r>
    </w:p>
    <w:p>
      <w:pPr>
        <w:pStyle w:val="11"/>
        <w:ind w:firstLine="640"/>
        <w:rPr>
          <w:rFonts w:hint="eastAsia" w:asciiTheme="majorEastAsia" w:hAnsiTheme="majorEastAsia" w:eastAsiaTheme="majorEastAsia"/>
          <w:sz w:val="32"/>
          <w:szCs w:val="32"/>
          <w:lang w:val="en-US" w:eastAsia="zh-CN"/>
        </w:rPr>
      </w:pPr>
      <w:r>
        <w:rPr>
          <w:rFonts w:hint="eastAsia" w:asciiTheme="majorEastAsia" w:hAnsiTheme="majorEastAsia" w:eastAsiaTheme="majorEastAsia"/>
          <w:sz w:val="32"/>
          <w:szCs w:val="32"/>
          <w:lang w:val="en-US" w:eastAsia="zh-CN"/>
        </w:rPr>
        <w:t>15、组织编制市政公用事业、市容景观、环境卫生等专项规划和行业发展规划并组织实施。负责城市管理执法中的投诉、应诉和行政复议工作。拟订城市管理行政执法方面的地方性法规和规则。城市市容环境的管理和整治。</w:t>
      </w:r>
    </w:p>
    <w:p>
      <w:pPr>
        <w:pStyle w:val="11"/>
        <w:ind w:firstLine="640"/>
        <w:rPr>
          <w:rFonts w:hint="eastAsia" w:asciiTheme="majorEastAsia" w:hAnsiTheme="majorEastAsia" w:eastAsiaTheme="majorEastAsia"/>
          <w:sz w:val="32"/>
          <w:szCs w:val="32"/>
          <w:lang w:val="en-US" w:eastAsia="zh-CN"/>
        </w:rPr>
      </w:pPr>
      <w:r>
        <w:rPr>
          <w:rFonts w:hint="eastAsia" w:asciiTheme="majorEastAsia" w:hAnsiTheme="majorEastAsia" w:eastAsiaTheme="majorEastAsia"/>
          <w:sz w:val="32"/>
          <w:szCs w:val="32"/>
          <w:lang w:val="en-US" w:eastAsia="zh-CN"/>
        </w:rPr>
        <w:t>负责指导和管理垃圾分类工作。组织协调落实重点区域、重点街道、河道景观建设与治理。管理城市道路公共服务设施的设置，城市亮化的审批与管理。市容环境综合整治和市容环境卫生监督考核工作。</w:t>
      </w:r>
    </w:p>
    <w:p>
      <w:pPr>
        <w:pStyle w:val="11"/>
        <w:ind w:firstLine="640"/>
        <w:rPr>
          <w:rFonts w:hint="eastAsia" w:asciiTheme="majorEastAsia" w:hAnsiTheme="majorEastAsia" w:eastAsiaTheme="majorEastAsia"/>
          <w:sz w:val="32"/>
          <w:szCs w:val="32"/>
          <w:lang w:val="en-US" w:eastAsia="zh-CN"/>
        </w:rPr>
      </w:pPr>
      <w:r>
        <w:rPr>
          <w:rFonts w:hint="eastAsia" w:asciiTheme="majorEastAsia" w:hAnsiTheme="majorEastAsia" w:eastAsiaTheme="majorEastAsia"/>
          <w:sz w:val="32"/>
          <w:szCs w:val="32"/>
          <w:lang w:val="en-US" w:eastAsia="zh-CN"/>
        </w:rPr>
        <w:t>16、制定房地产业的行业发展规划和产业政策，房地产开发、房屋交易和租赁，商品房购房、物业服务管理、</w:t>
      </w:r>
    </w:p>
    <w:p>
      <w:pPr>
        <w:pStyle w:val="11"/>
        <w:ind w:firstLine="640"/>
        <w:rPr>
          <w:rFonts w:hint="eastAsia" w:asciiTheme="majorEastAsia" w:hAnsiTheme="majorEastAsia" w:eastAsiaTheme="majorEastAsia"/>
          <w:sz w:val="32"/>
          <w:szCs w:val="32"/>
          <w:lang w:val="en-US" w:eastAsia="zh-CN"/>
        </w:rPr>
      </w:pPr>
      <w:r>
        <w:rPr>
          <w:rFonts w:hint="eastAsia" w:asciiTheme="majorEastAsia" w:hAnsiTheme="majorEastAsia" w:eastAsiaTheme="majorEastAsia"/>
          <w:sz w:val="32"/>
          <w:szCs w:val="32"/>
          <w:lang w:val="en-US" w:eastAsia="zh-CN"/>
        </w:rPr>
        <w:t>17、负责县住建、城市管理领域执法工作。</w:t>
      </w:r>
    </w:p>
    <w:p>
      <w:pPr>
        <w:pStyle w:val="11"/>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1</w:t>
      </w:r>
      <w:r>
        <w:rPr>
          <w:rFonts w:hint="eastAsia" w:asciiTheme="majorEastAsia" w:hAnsiTheme="majorEastAsia" w:eastAsiaTheme="majorEastAsia"/>
          <w:sz w:val="32"/>
          <w:szCs w:val="32"/>
          <w:lang w:val="en-US" w:eastAsia="zh-CN"/>
        </w:rPr>
        <w:t>8</w:t>
      </w:r>
      <w:r>
        <w:rPr>
          <w:rFonts w:hint="eastAsia" w:asciiTheme="majorEastAsia" w:hAnsiTheme="majorEastAsia" w:eastAsiaTheme="majorEastAsia"/>
          <w:sz w:val="32"/>
          <w:szCs w:val="32"/>
        </w:rPr>
        <w:t>.完成县委，县政府交办的其他任务：完成县委，县政府交办的其他任务。</w:t>
      </w:r>
    </w:p>
    <w:p>
      <w:pPr>
        <w:pStyle w:val="11"/>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1</w:t>
      </w:r>
      <w:r>
        <w:rPr>
          <w:rFonts w:hint="eastAsia" w:asciiTheme="majorEastAsia" w:hAnsiTheme="majorEastAsia" w:eastAsiaTheme="majorEastAsia"/>
          <w:sz w:val="32"/>
          <w:szCs w:val="32"/>
          <w:lang w:val="en-US" w:eastAsia="zh-CN"/>
        </w:rPr>
        <w:t>9</w:t>
      </w:r>
      <w:r>
        <w:rPr>
          <w:rFonts w:hint="eastAsia" w:asciiTheme="majorEastAsia" w:hAnsiTheme="majorEastAsia" w:eastAsiaTheme="majorEastAsia"/>
          <w:sz w:val="32"/>
          <w:szCs w:val="32"/>
        </w:rPr>
        <w:t>.职能转变：进一步强化住房和城乡建设行业规划、发展、管理职责，强化行业生态保护职责、绿色建筑、促进城市居住环境改善。</w:t>
      </w:r>
    </w:p>
    <w:p>
      <w:pPr>
        <w:pStyle w:val="11"/>
        <w:numPr>
          <w:ilvl w:val="0"/>
          <w:numId w:val="1"/>
        </w:numPr>
        <w:ind w:firstLineChars="0"/>
        <w:rPr>
          <w:rFonts w:ascii="黑体" w:hAnsi="黑体" w:eastAsia="黑体"/>
          <w:sz w:val="32"/>
          <w:szCs w:val="32"/>
        </w:rPr>
      </w:pPr>
      <w:r>
        <w:rPr>
          <w:rFonts w:hint="eastAsia" w:ascii="黑体" w:hAnsi="黑体" w:eastAsia="黑体"/>
          <w:sz w:val="32"/>
          <w:szCs w:val="32"/>
        </w:rPr>
        <w:t>部门预算单位构成</w:t>
      </w:r>
    </w:p>
    <w:p>
      <w:pPr>
        <w:ind w:firstLine="640" w:firstLineChars="200"/>
        <w:rPr>
          <w:rFonts w:ascii="仿宋" w:hAnsi="仿宋" w:eastAsia="仿宋"/>
          <w:sz w:val="32"/>
          <w:szCs w:val="32"/>
        </w:rPr>
      </w:pPr>
      <w:r>
        <w:rPr>
          <w:rFonts w:hint="eastAsia" w:ascii="仿宋" w:hAnsi="仿宋" w:eastAsia="仿宋"/>
          <w:sz w:val="32"/>
          <w:szCs w:val="32"/>
        </w:rPr>
        <w:t>部门内设0个机构,行政编制</w:t>
      </w:r>
      <w:r>
        <w:rPr>
          <w:rFonts w:hint="eastAsia" w:ascii="仿宋" w:hAnsi="仿宋" w:eastAsia="仿宋"/>
          <w:sz w:val="32"/>
          <w:szCs w:val="32"/>
          <w:lang w:val="en-US" w:eastAsia="zh-CN"/>
        </w:rPr>
        <w:t>6</w:t>
      </w:r>
      <w:r>
        <w:rPr>
          <w:rFonts w:hint="eastAsia" w:ascii="仿宋" w:hAnsi="仿宋" w:eastAsia="仿宋"/>
          <w:sz w:val="32"/>
          <w:szCs w:val="32"/>
        </w:rPr>
        <w:t>名，领导职数</w:t>
      </w:r>
      <w:r>
        <w:rPr>
          <w:rFonts w:hint="eastAsia" w:ascii="仿宋" w:hAnsi="仿宋" w:eastAsia="仿宋"/>
          <w:sz w:val="32"/>
          <w:szCs w:val="32"/>
          <w:lang w:val="en-US" w:eastAsia="zh-CN"/>
        </w:rPr>
        <w:t>5</w:t>
      </w:r>
      <w:r>
        <w:rPr>
          <w:rFonts w:hint="eastAsia" w:ascii="仿宋" w:hAnsi="仿宋" w:eastAsia="仿宋"/>
          <w:sz w:val="32"/>
          <w:szCs w:val="32"/>
        </w:rPr>
        <w:t>名（正科级</w:t>
      </w:r>
      <w:r>
        <w:rPr>
          <w:rFonts w:hint="eastAsia" w:ascii="仿宋" w:hAnsi="仿宋" w:eastAsia="仿宋"/>
          <w:sz w:val="32"/>
          <w:szCs w:val="32"/>
          <w:lang w:val="en-US" w:eastAsia="zh-CN"/>
        </w:rPr>
        <w:t>2</w:t>
      </w:r>
      <w:r>
        <w:rPr>
          <w:rFonts w:hint="eastAsia" w:ascii="仿宋" w:hAnsi="仿宋" w:eastAsia="仿宋"/>
          <w:sz w:val="32"/>
          <w:szCs w:val="32"/>
        </w:rPr>
        <w:t>名，副科级</w:t>
      </w:r>
      <w:r>
        <w:rPr>
          <w:rFonts w:hint="eastAsia" w:ascii="仿宋" w:hAnsi="仿宋" w:eastAsia="仿宋"/>
          <w:sz w:val="32"/>
          <w:szCs w:val="32"/>
          <w:lang w:val="en-US" w:eastAsia="zh-CN"/>
        </w:rPr>
        <w:t>3</w:t>
      </w:r>
      <w:r>
        <w:rPr>
          <w:rFonts w:hint="eastAsia" w:ascii="仿宋" w:hAnsi="仿宋" w:eastAsia="仿宋"/>
          <w:sz w:val="32"/>
          <w:szCs w:val="32"/>
        </w:rPr>
        <w:t>名）</w:t>
      </w:r>
    </w:p>
    <w:p>
      <w:pPr>
        <w:ind w:firstLine="640" w:firstLineChars="200"/>
        <w:rPr>
          <w:rFonts w:hint="eastAsia" w:ascii="方正小标宋简体" w:hAnsi="仿宋" w:eastAsia="方正小标宋简体"/>
          <w:sz w:val="32"/>
          <w:szCs w:val="32"/>
        </w:rPr>
      </w:pPr>
      <w:r>
        <w:rPr>
          <w:rFonts w:hint="eastAsia" w:ascii="仿宋" w:hAnsi="仿宋" w:eastAsia="仿宋"/>
          <w:sz w:val="32"/>
          <w:szCs w:val="32"/>
        </w:rPr>
        <w:t>纳入本部门202</w:t>
      </w:r>
      <w:r>
        <w:rPr>
          <w:rFonts w:hint="eastAsia" w:ascii="仿宋" w:hAnsi="仿宋" w:eastAsia="仿宋"/>
          <w:sz w:val="32"/>
          <w:szCs w:val="32"/>
          <w:lang w:val="en-US" w:eastAsia="zh-CN"/>
        </w:rPr>
        <w:t>5</w:t>
      </w:r>
      <w:r>
        <w:rPr>
          <w:rFonts w:hint="eastAsia" w:ascii="仿宋" w:hAnsi="仿宋" w:eastAsia="仿宋"/>
          <w:sz w:val="32"/>
          <w:szCs w:val="32"/>
        </w:rPr>
        <w:t>年部门预算编制范围的二级预算单位包括：无</w:t>
      </w:r>
    </w:p>
    <w:p>
      <w:pPr>
        <w:rPr>
          <w:rFonts w:hint="eastAsia" w:ascii="方正小标宋简体" w:hAnsi="仿宋" w:eastAsia="方正小标宋简体"/>
          <w:sz w:val="32"/>
          <w:szCs w:val="32"/>
        </w:rPr>
      </w:pPr>
      <w:r>
        <w:rPr>
          <w:rFonts w:hint="eastAsia" w:ascii="方正小标宋简体" w:hAnsi="仿宋" w:eastAsia="方正小标宋简体"/>
          <w:sz w:val="32"/>
          <w:szCs w:val="32"/>
        </w:rPr>
        <w:t>第二部分  嘉黎县住房和城乡建设局2024年度部门预算明细表（表格详见附件）</w:t>
      </w:r>
    </w:p>
    <w:p>
      <w:pPr>
        <w:rPr>
          <w:rFonts w:hint="eastAsia" w:ascii="方正小标宋简体" w:hAnsi="仿宋" w:eastAsia="方正小标宋简体"/>
          <w:sz w:val="32"/>
          <w:szCs w:val="32"/>
        </w:rPr>
      </w:pPr>
    </w:p>
    <w:p>
      <w:pPr>
        <w:rPr>
          <w:rFonts w:hint="eastAsia" w:ascii="方正小标宋简体" w:hAnsi="仿宋" w:eastAsia="方正小标宋简体"/>
          <w:sz w:val="32"/>
          <w:szCs w:val="32"/>
        </w:rPr>
      </w:pPr>
    </w:p>
    <w:p>
      <w:pPr>
        <w:rPr>
          <w:rFonts w:hint="eastAsia" w:ascii="方正小标宋简体" w:hAnsi="仿宋" w:eastAsia="方正小标宋简体"/>
          <w:sz w:val="32"/>
          <w:szCs w:val="32"/>
        </w:rPr>
      </w:pPr>
    </w:p>
    <w:p>
      <w:pPr>
        <w:rPr>
          <w:rFonts w:hint="eastAsia" w:ascii="方正小标宋简体" w:hAnsi="仿宋" w:eastAsia="方正小标宋简体"/>
          <w:sz w:val="32"/>
          <w:szCs w:val="32"/>
        </w:rPr>
      </w:pPr>
    </w:p>
    <w:p>
      <w:pPr>
        <w:rPr>
          <w:rFonts w:hint="eastAsia" w:ascii="方正小标宋简体" w:hAnsi="仿宋" w:eastAsia="方正小标宋简体"/>
          <w:sz w:val="32"/>
          <w:szCs w:val="32"/>
        </w:rPr>
      </w:pPr>
    </w:p>
    <w:p>
      <w:pPr>
        <w:rPr>
          <w:rFonts w:hint="eastAsia" w:ascii="方正小标宋简体" w:hAnsi="仿宋" w:eastAsia="方正小标宋简体"/>
          <w:sz w:val="32"/>
          <w:szCs w:val="32"/>
        </w:rPr>
      </w:pPr>
    </w:p>
    <w:p>
      <w:pPr>
        <w:rPr>
          <w:rFonts w:hint="eastAsia" w:ascii="方正小标宋简体" w:hAnsi="仿宋" w:eastAsia="方正小标宋简体"/>
          <w:sz w:val="32"/>
          <w:szCs w:val="32"/>
        </w:rPr>
      </w:pPr>
    </w:p>
    <w:p>
      <w:pPr>
        <w:rPr>
          <w:rFonts w:hint="eastAsia" w:ascii="方正小标宋简体" w:hAnsi="仿宋" w:eastAsia="方正小标宋简体"/>
          <w:sz w:val="32"/>
          <w:szCs w:val="32"/>
        </w:rPr>
      </w:pPr>
    </w:p>
    <w:p>
      <w:pPr>
        <w:rPr>
          <w:rFonts w:hint="eastAsia" w:ascii="方正小标宋简体" w:hAnsi="仿宋" w:eastAsia="方正小标宋简体"/>
          <w:sz w:val="32"/>
          <w:szCs w:val="32"/>
        </w:rPr>
      </w:pPr>
    </w:p>
    <w:p>
      <w:pPr>
        <w:rPr>
          <w:rFonts w:hint="eastAsia" w:ascii="方正小标宋简体" w:hAnsi="仿宋" w:eastAsia="方正小标宋简体"/>
          <w:sz w:val="32"/>
          <w:szCs w:val="32"/>
        </w:rPr>
      </w:pPr>
    </w:p>
    <w:p>
      <w:pPr>
        <w:rPr>
          <w:rFonts w:hint="eastAsia" w:ascii="方正小标宋简体" w:hAnsi="仿宋" w:eastAsia="方正小标宋简体"/>
          <w:sz w:val="32"/>
          <w:szCs w:val="32"/>
        </w:rPr>
      </w:pPr>
    </w:p>
    <w:p>
      <w:pPr>
        <w:rPr>
          <w:rFonts w:hint="eastAsia" w:ascii="方正小标宋简体" w:hAnsi="仿宋" w:eastAsia="方正小标宋简体"/>
          <w:sz w:val="32"/>
          <w:szCs w:val="32"/>
        </w:rPr>
      </w:pPr>
    </w:p>
    <w:p>
      <w:pPr>
        <w:rPr>
          <w:rFonts w:hint="eastAsia" w:ascii="方正小标宋简体" w:hAnsi="仿宋" w:eastAsia="方正小标宋简体"/>
          <w:sz w:val="32"/>
          <w:szCs w:val="32"/>
        </w:rPr>
      </w:pPr>
    </w:p>
    <w:p>
      <w:pPr>
        <w:rPr>
          <w:rFonts w:hint="eastAsia" w:ascii="方正小标宋简体" w:hAnsi="仿宋" w:eastAsia="方正小标宋简体"/>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第三部分  嘉黎县住房和城乡建设局202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年度部门预算数据分析</w:t>
      </w:r>
    </w:p>
    <w:p>
      <w:pPr>
        <w:rPr>
          <w:rFonts w:ascii="黑体" w:hAnsi="黑体" w:eastAsia="黑体"/>
          <w:sz w:val="32"/>
          <w:szCs w:val="32"/>
        </w:rPr>
      </w:pPr>
      <w:r>
        <w:rPr>
          <w:rFonts w:hint="eastAsia" w:ascii="黑体" w:hAnsi="黑体" w:eastAsia="黑体"/>
          <w:sz w:val="32"/>
          <w:szCs w:val="32"/>
        </w:rPr>
        <w:t xml:space="preserve"> 一、202</w:t>
      </w:r>
      <w:r>
        <w:rPr>
          <w:rFonts w:hint="eastAsia" w:ascii="黑体" w:hAnsi="黑体" w:eastAsia="黑体"/>
          <w:sz w:val="32"/>
          <w:szCs w:val="32"/>
          <w:lang w:val="en-US" w:eastAsia="zh-CN"/>
        </w:rPr>
        <w:t>5</w:t>
      </w:r>
      <w:r>
        <w:rPr>
          <w:rFonts w:hint="eastAsia" w:ascii="黑体" w:hAnsi="黑体" w:eastAsia="黑体"/>
          <w:sz w:val="32"/>
          <w:szCs w:val="32"/>
        </w:rPr>
        <w:t>年部门收支总表的说明</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年收支总预算</w:t>
      </w:r>
      <w:r>
        <w:rPr>
          <w:rFonts w:hint="eastAsia" w:ascii="仿宋" w:hAnsi="仿宋" w:eastAsia="仿宋"/>
          <w:sz w:val="32"/>
          <w:szCs w:val="32"/>
          <w:lang w:val="en-US" w:eastAsia="zh-CN"/>
        </w:rPr>
        <w:t>6,446.91</w:t>
      </w:r>
      <w:r>
        <w:rPr>
          <w:rFonts w:hint="eastAsia" w:ascii="仿宋" w:hAnsi="仿宋" w:eastAsia="仿宋"/>
          <w:sz w:val="32"/>
          <w:szCs w:val="32"/>
        </w:rPr>
        <w:t>万元。收入包括：一般公共预算拨款收入、</w:t>
      </w:r>
      <w:r>
        <w:rPr>
          <w:rFonts w:hint="eastAsia" w:ascii="仿宋" w:hAnsi="仿宋" w:eastAsia="仿宋"/>
          <w:sz w:val="32"/>
          <w:szCs w:val="32"/>
          <w:lang w:eastAsia="zh-CN"/>
        </w:rPr>
        <w:t>政府性基金预算收入、</w:t>
      </w:r>
      <w:r>
        <w:rPr>
          <w:rFonts w:hint="eastAsia" w:ascii="仿宋" w:hAnsi="仿宋" w:eastAsia="仿宋"/>
          <w:sz w:val="32"/>
          <w:szCs w:val="32"/>
        </w:rPr>
        <w:t>上年结转；支出包括：一般公共服务支出、社会保障和就业支出、卫生健康支出、</w:t>
      </w:r>
      <w:r>
        <w:rPr>
          <w:rFonts w:hint="eastAsia" w:ascii="仿宋" w:hAnsi="仿宋" w:eastAsia="仿宋"/>
          <w:sz w:val="32"/>
          <w:szCs w:val="32"/>
          <w:lang w:eastAsia="zh-CN"/>
        </w:rPr>
        <w:t>城乡社区支出、</w:t>
      </w:r>
      <w:r>
        <w:rPr>
          <w:rFonts w:hint="eastAsia" w:ascii="仿宋" w:hAnsi="仿宋" w:eastAsia="仿宋"/>
          <w:sz w:val="32"/>
          <w:szCs w:val="32"/>
        </w:rPr>
        <w:t>住房保障支出</w:t>
      </w:r>
      <w:r>
        <w:rPr>
          <w:rFonts w:hint="eastAsia" w:ascii="仿宋" w:hAnsi="仿宋" w:eastAsia="仿宋"/>
          <w:sz w:val="32"/>
          <w:szCs w:val="32"/>
          <w:lang w:eastAsia="zh-CN"/>
        </w:rPr>
        <w:t>、债务付息支出</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二、202</w:t>
      </w:r>
      <w:r>
        <w:rPr>
          <w:rFonts w:hint="eastAsia" w:ascii="黑体" w:hAnsi="黑体" w:eastAsia="黑体"/>
          <w:sz w:val="32"/>
          <w:szCs w:val="32"/>
          <w:lang w:val="en-US" w:eastAsia="zh-CN"/>
        </w:rPr>
        <w:t>5</w:t>
      </w:r>
      <w:r>
        <w:rPr>
          <w:rFonts w:hint="eastAsia" w:ascii="黑体" w:hAnsi="黑体" w:eastAsia="黑体"/>
          <w:sz w:val="32"/>
          <w:szCs w:val="32"/>
        </w:rPr>
        <w:t>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lang w:val="en-US" w:eastAsia="zh-CN"/>
        </w:rPr>
        <w:t>6,446.91</w:t>
      </w:r>
      <w:r>
        <w:rPr>
          <w:rFonts w:hint="eastAsia" w:ascii="仿宋" w:hAnsi="仿宋" w:eastAsia="仿宋"/>
          <w:sz w:val="32"/>
          <w:szCs w:val="32"/>
        </w:rPr>
        <w:t>万元，其中：上年结转2,725.54万元， 占</w:t>
      </w:r>
      <w:r>
        <w:rPr>
          <w:rFonts w:hint="eastAsia" w:ascii="仿宋" w:hAnsi="仿宋" w:eastAsia="仿宋"/>
          <w:sz w:val="32"/>
          <w:szCs w:val="32"/>
          <w:lang w:val="en-US" w:eastAsia="zh-CN"/>
        </w:rPr>
        <w:t>42.28</w:t>
      </w:r>
      <w:r>
        <w:rPr>
          <w:rFonts w:hint="eastAsia" w:ascii="仿宋" w:hAnsi="仿宋" w:eastAsia="仿宋"/>
          <w:sz w:val="32"/>
          <w:szCs w:val="32"/>
        </w:rPr>
        <w:t>%；一般公共预算拨款收入</w:t>
      </w:r>
      <w:r>
        <w:rPr>
          <w:rFonts w:hint="eastAsia" w:ascii="仿宋" w:hAnsi="仿宋" w:eastAsia="仿宋"/>
          <w:sz w:val="32"/>
          <w:szCs w:val="32"/>
          <w:lang w:val="en-US" w:eastAsia="zh-CN"/>
        </w:rPr>
        <w:t>3721.37</w:t>
      </w:r>
      <w:r>
        <w:rPr>
          <w:rFonts w:hint="eastAsia" w:ascii="仿宋" w:hAnsi="仿宋" w:eastAsia="仿宋"/>
          <w:sz w:val="32"/>
          <w:szCs w:val="32"/>
        </w:rPr>
        <w:t>万元，占</w:t>
      </w:r>
      <w:r>
        <w:rPr>
          <w:rFonts w:hint="eastAsia" w:ascii="仿宋" w:hAnsi="仿宋" w:eastAsia="仿宋"/>
          <w:sz w:val="32"/>
          <w:szCs w:val="32"/>
          <w:lang w:val="en-US" w:eastAsia="zh-CN"/>
        </w:rPr>
        <w:t>57.72</w:t>
      </w:r>
      <w:r>
        <w:rPr>
          <w:rFonts w:hint="eastAsia" w:ascii="仿宋" w:hAnsi="仿宋" w:eastAsia="仿宋"/>
          <w:sz w:val="32"/>
          <w:szCs w:val="32"/>
        </w:rPr>
        <w:t>%</w:t>
      </w:r>
      <w:r>
        <w:rPr>
          <w:rFonts w:hint="eastAsia" w:ascii="仿宋" w:hAnsi="仿宋" w:eastAsia="仿宋"/>
          <w:sz w:val="32"/>
          <w:szCs w:val="32"/>
          <w:lang w:val="en-US" w:eastAsia="zh-CN"/>
        </w:rPr>
        <w:t>。</w:t>
      </w:r>
    </w:p>
    <w:p>
      <w:pPr>
        <w:rPr>
          <w:rFonts w:ascii="黑体" w:hAnsi="黑体" w:eastAsia="黑体"/>
          <w:sz w:val="32"/>
          <w:szCs w:val="32"/>
        </w:rPr>
      </w:pPr>
      <w:r>
        <w:rPr>
          <w:rFonts w:hint="eastAsia" w:ascii="黑体" w:hAnsi="黑体" w:eastAsia="黑体"/>
          <w:sz w:val="32"/>
          <w:szCs w:val="32"/>
        </w:rPr>
        <w:t>三、202</w:t>
      </w:r>
      <w:r>
        <w:rPr>
          <w:rFonts w:hint="eastAsia" w:ascii="黑体" w:hAnsi="黑体" w:eastAsia="黑体"/>
          <w:sz w:val="32"/>
          <w:szCs w:val="32"/>
          <w:lang w:val="en-US" w:eastAsia="zh-CN"/>
        </w:rPr>
        <w:t>5</w:t>
      </w:r>
      <w:r>
        <w:rPr>
          <w:rFonts w:hint="eastAsia" w:ascii="黑体" w:hAnsi="黑体" w:eastAsia="黑体"/>
          <w:sz w:val="32"/>
          <w:szCs w:val="32"/>
        </w:rPr>
        <w:t>年部门支出总表的说明</w:t>
      </w:r>
    </w:p>
    <w:p>
      <w:pPr>
        <w:rPr>
          <w:rFonts w:ascii="仿宋" w:hAnsi="仿宋" w:eastAsia="仿宋"/>
          <w:sz w:val="32"/>
          <w:szCs w:val="32"/>
        </w:rPr>
      </w:pPr>
      <w:r>
        <w:rPr>
          <w:rFonts w:hint="eastAsia" w:ascii="仿宋" w:hAnsi="仿宋" w:eastAsia="仿宋"/>
          <w:sz w:val="32"/>
          <w:szCs w:val="32"/>
        </w:rPr>
        <w:t xml:space="preserve">   202</w:t>
      </w:r>
      <w:r>
        <w:rPr>
          <w:rFonts w:hint="eastAsia" w:ascii="仿宋" w:hAnsi="仿宋" w:eastAsia="仿宋"/>
          <w:sz w:val="32"/>
          <w:szCs w:val="32"/>
          <w:lang w:val="en-US" w:eastAsia="zh-CN"/>
        </w:rPr>
        <w:t>5</w:t>
      </w:r>
      <w:r>
        <w:rPr>
          <w:rFonts w:hint="eastAsia" w:ascii="仿宋" w:hAnsi="仿宋" w:eastAsia="仿宋"/>
          <w:sz w:val="32"/>
          <w:szCs w:val="32"/>
        </w:rPr>
        <w:t>年支出预算6,446.91万元，其中：基本支出382.18万元，占</w:t>
      </w:r>
      <w:r>
        <w:rPr>
          <w:rFonts w:hint="eastAsia" w:ascii="仿宋" w:hAnsi="仿宋" w:eastAsia="仿宋"/>
          <w:sz w:val="32"/>
          <w:szCs w:val="32"/>
          <w:lang w:val="en-US" w:eastAsia="zh-CN"/>
        </w:rPr>
        <w:t>5.93</w:t>
      </w:r>
      <w:r>
        <w:rPr>
          <w:rFonts w:hint="eastAsia" w:ascii="仿宋" w:hAnsi="仿宋" w:eastAsia="仿宋"/>
          <w:sz w:val="32"/>
          <w:szCs w:val="32"/>
        </w:rPr>
        <w:t>%；项目支出</w:t>
      </w:r>
      <w:r>
        <w:rPr>
          <w:rFonts w:hint="eastAsia" w:ascii="仿宋" w:hAnsi="仿宋" w:eastAsia="仿宋"/>
          <w:sz w:val="32"/>
          <w:szCs w:val="32"/>
          <w:lang w:val="en-US" w:eastAsia="zh-CN"/>
        </w:rPr>
        <w:t>6064.73</w:t>
      </w:r>
      <w:r>
        <w:rPr>
          <w:rFonts w:hint="eastAsia" w:ascii="仿宋" w:hAnsi="仿宋" w:eastAsia="仿宋"/>
          <w:sz w:val="32"/>
          <w:szCs w:val="32"/>
        </w:rPr>
        <w:t>万元，占</w:t>
      </w:r>
      <w:r>
        <w:rPr>
          <w:rFonts w:hint="eastAsia" w:ascii="仿宋" w:hAnsi="仿宋" w:eastAsia="仿宋"/>
          <w:sz w:val="32"/>
          <w:szCs w:val="32"/>
          <w:lang w:val="en-US" w:eastAsia="zh-CN"/>
        </w:rPr>
        <w:t>94.07</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四、2024</w:t>
      </w:r>
      <w:r>
        <w:rPr>
          <w:rFonts w:hint="eastAsia" w:ascii="黑体" w:hAnsi="黑体" w:eastAsia="黑体"/>
          <w:sz w:val="32"/>
          <w:szCs w:val="32"/>
          <w:lang w:val="en-US" w:eastAsia="zh-CN"/>
        </w:rPr>
        <w:t>5</w:t>
      </w:r>
      <w:r>
        <w:rPr>
          <w:rFonts w:hint="eastAsia" w:ascii="黑体" w:hAnsi="黑体" w:eastAsia="黑体"/>
          <w:sz w:val="32"/>
          <w:szCs w:val="32"/>
        </w:rPr>
        <w:t>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年财政拨款收入总预算6,446.91万元。包括：一般公共预算当年拨款收入</w:t>
      </w:r>
      <w:r>
        <w:rPr>
          <w:rFonts w:hint="eastAsia" w:ascii="仿宋" w:hAnsi="仿宋" w:eastAsia="仿宋"/>
          <w:sz w:val="32"/>
          <w:szCs w:val="32"/>
          <w:lang w:val="en-US" w:eastAsia="zh-CN"/>
        </w:rPr>
        <w:t>3721.37</w:t>
      </w:r>
      <w:r>
        <w:rPr>
          <w:rFonts w:hint="eastAsia" w:ascii="仿宋" w:hAnsi="仿宋" w:eastAsia="仿宋"/>
          <w:sz w:val="32"/>
          <w:szCs w:val="32"/>
        </w:rPr>
        <w:t>万元、上年结转2,725.54万</w:t>
      </w:r>
      <w:r>
        <w:rPr>
          <w:rFonts w:hint="eastAsia" w:ascii="仿宋" w:hAnsi="仿宋" w:eastAsia="仿宋"/>
          <w:sz w:val="32"/>
          <w:szCs w:val="32"/>
          <w:lang w:eastAsia="zh-CN"/>
        </w:rPr>
        <w:t>元</w:t>
      </w:r>
      <w:r>
        <w:rPr>
          <w:rFonts w:hint="eastAsia" w:ascii="仿宋" w:hAnsi="仿宋" w:eastAsia="仿宋"/>
          <w:sz w:val="32"/>
          <w:szCs w:val="32"/>
        </w:rPr>
        <w:t>；支出包括：一般公共服务支出</w:t>
      </w:r>
      <w:r>
        <w:rPr>
          <w:rFonts w:hint="eastAsia" w:ascii="仿宋" w:hAnsi="仿宋" w:eastAsia="仿宋"/>
          <w:sz w:val="32"/>
          <w:szCs w:val="32"/>
          <w:lang w:val="en-US" w:eastAsia="zh-CN"/>
        </w:rPr>
        <w:t>0.13</w:t>
      </w:r>
      <w:r>
        <w:rPr>
          <w:rFonts w:hint="eastAsia" w:ascii="仿宋" w:hAnsi="仿宋" w:eastAsia="仿宋"/>
          <w:sz w:val="32"/>
          <w:szCs w:val="32"/>
        </w:rPr>
        <w:t>万元、社会保障和就业支出33.08万元、卫生健康支出20.24万元、住房保障支出118.99万元、城乡社区支出6,014.36万元、债务付息支出260.11万元。</w:t>
      </w:r>
    </w:p>
    <w:p>
      <w:pPr>
        <w:rPr>
          <w:rFonts w:ascii="黑体" w:hAnsi="黑体" w:eastAsia="黑体"/>
          <w:sz w:val="32"/>
          <w:szCs w:val="32"/>
        </w:rPr>
      </w:pPr>
      <w:r>
        <w:rPr>
          <w:rFonts w:hint="eastAsia" w:ascii="黑体" w:hAnsi="黑体" w:eastAsia="黑体"/>
          <w:sz w:val="32"/>
          <w:szCs w:val="32"/>
        </w:rPr>
        <w:t xml:space="preserve"> 五、202</w:t>
      </w:r>
      <w:r>
        <w:rPr>
          <w:rFonts w:hint="eastAsia" w:ascii="黑体" w:hAnsi="黑体" w:eastAsia="黑体"/>
          <w:sz w:val="32"/>
          <w:szCs w:val="32"/>
          <w:lang w:val="en-US" w:eastAsia="zh-CN"/>
        </w:rPr>
        <w:t>5</w:t>
      </w:r>
      <w:r>
        <w:rPr>
          <w:rFonts w:hint="eastAsia" w:ascii="黑体" w:hAnsi="黑体" w:eastAsia="黑体"/>
          <w:sz w:val="32"/>
          <w:szCs w:val="32"/>
        </w:rPr>
        <w:t>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年一般公共预算当年拨款6259.26万元,比202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eastAsia" w:ascii="仿宋" w:hAnsi="仿宋" w:eastAsia="仿宋"/>
          <w:sz w:val="32"/>
          <w:szCs w:val="32"/>
          <w:lang w:val="en-US" w:eastAsia="zh-CN"/>
        </w:rPr>
        <w:t>12580.84</w:t>
      </w:r>
      <w:r>
        <w:rPr>
          <w:rFonts w:hint="eastAsia" w:ascii="仿宋" w:hAnsi="仿宋" w:eastAsia="仿宋"/>
          <w:sz w:val="32"/>
          <w:szCs w:val="32"/>
        </w:rPr>
        <w:t>万元，主要原因：</w:t>
      </w:r>
      <w:r>
        <w:rPr>
          <w:rFonts w:hint="eastAsia" w:ascii="仿宋" w:hAnsi="仿宋" w:eastAsia="仿宋"/>
          <w:sz w:val="32"/>
          <w:szCs w:val="32"/>
          <w:lang w:eastAsia="zh-CN"/>
        </w:rPr>
        <w:t>项目预算减少</w:t>
      </w:r>
      <w:r>
        <w:rPr>
          <w:rFonts w:hint="eastAsia" w:ascii="仿宋" w:hAnsi="仿宋" w:eastAsia="仿宋"/>
          <w:sz w:val="32"/>
          <w:szCs w:val="32"/>
        </w:rPr>
        <w:t>。</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年一般公共预算当年拨款6259.26万元,</w:t>
      </w:r>
      <w:r>
        <w:rPr>
          <w:rFonts w:hint="eastAsia" w:ascii="仿宋" w:hAnsi="仿宋" w:eastAsia="仿宋"/>
          <w:sz w:val="32"/>
          <w:szCs w:val="32"/>
        </w:rPr>
        <w:t>一般公共服务支出</w:t>
      </w:r>
      <w:r>
        <w:rPr>
          <w:rFonts w:hint="eastAsia" w:ascii="仿宋" w:hAnsi="仿宋" w:eastAsia="仿宋"/>
          <w:sz w:val="32"/>
          <w:szCs w:val="32"/>
          <w:lang w:val="en-US" w:eastAsia="zh-CN"/>
        </w:rPr>
        <w:t>0.13</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rPr>
        <w:t>%；社会保障和就业支出33.08万元，占</w:t>
      </w:r>
      <w:r>
        <w:rPr>
          <w:rFonts w:hint="eastAsia" w:ascii="仿宋" w:hAnsi="仿宋" w:eastAsia="仿宋"/>
          <w:sz w:val="32"/>
          <w:szCs w:val="32"/>
          <w:lang w:val="en-US" w:eastAsia="zh-CN"/>
        </w:rPr>
        <w:t>0.53</w:t>
      </w:r>
      <w:r>
        <w:rPr>
          <w:rFonts w:hint="eastAsia" w:ascii="仿宋" w:hAnsi="仿宋" w:eastAsia="仿宋"/>
          <w:sz w:val="32"/>
          <w:szCs w:val="32"/>
        </w:rPr>
        <w:t>%；卫生健康支出20.24万元，占</w:t>
      </w:r>
      <w:r>
        <w:rPr>
          <w:rFonts w:hint="eastAsia" w:ascii="仿宋" w:hAnsi="仿宋" w:eastAsia="仿宋"/>
          <w:sz w:val="32"/>
          <w:szCs w:val="32"/>
          <w:lang w:val="en-US" w:eastAsia="zh-CN"/>
        </w:rPr>
        <w:t>0.32</w:t>
      </w:r>
      <w:r>
        <w:rPr>
          <w:rFonts w:hint="eastAsia" w:ascii="仿宋" w:hAnsi="仿宋" w:eastAsia="仿宋"/>
          <w:sz w:val="32"/>
          <w:szCs w:val="32"/>
        </w:rPr>
        <w:t>%；城乡社区支出5,826.70万元，占</w:t>
      </w:r>
      <w:r>
        <w:rPr>
          <w:rFonts w:hint="eastAsia" w:ascii="仿宋" w:hAnsi="仿宋" w:eastAsia="仿宋"/>
          <w:sz w:val="32"/>
          <w:szCs w:val="32"/>
          <w:lang w:val="en-US" w:eastAsia="zh-CN"/>
        </w:rPr>
        <w:t>93.09</w:t>
      </w:r>
      <w:r>
        <w:rPr>
          <w:rFonts w:hint="eastAsia" w:ascii="仿宋" w:hAnsi="仿宋" w:eastAsia="仿宋"/>
          <w:sz w:val="32"/>
          <w:szCs w:val="32"/>
        </w:rPr>
        <w:t>%；住房保障支出118.99万元，占</w:t>
      </w:r>
      <w:r>
        <w:rPr>
          <w:rFonts w:hint="eastAsia" w:ascii="仿宋" w:hAnsi="仿宋" w:eastAsia="仿宋"/>
          <w:sz w:val="32"/>
          <w:szCs w:val="32"/>
          <w:lang w:val="en-US" w:eastAsia="zh-CN"/>
        </w:rPr>
        <w:t>1.90</w:t>
      </w:r>
      <w:r>
        <w:rPr>
          <w:rFonts w:hint="eastAsia" w:ascii="仿宋" w:hAnsi="仿宋" w:eastAsia="仿宋"/>
          <w:sz w:val="32"/>
          <w:szCs w:val="32"/>
        </w:rPr>
        <w:t>%；债务付息支出260.11万元，占</w:t>
      </w:r>
      <w:r>
        <w:rPr>
          <w:rFonts w:hint="eastAsia" w:ascii="仿宋" w:hAnsi="仿宋" w:eastAsia="仿宋"/>
          <w:sz w:val="32"/>
          <w:szCs w:val="32"/>
          <w:lang w:val="en-US" w:eastAsia="zh-CN"/>
        </w:rPr>
        <w:t>4.16</w:t>
      </w:r>
      <w:r>
        <w:rPr>
          <w:rFonts w:hint="eastAsia" w:ascii="仿宋" w:hAnsi="仿宋" w:eastAsia="仿宋"/>
          <w:sz w:val="32"/>
          <w:szCs w:val="32"/>
        </w:rPr>
        <w:t>%。</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1.一般公共服务支出（类）财政事务（款）行政运行（项）202</w:t>
      </w:r>
      <w:r>
        <w:rPr>
          <w:rFonts w:hint="eastAsia" w:ascii="仿宋" w:hAnsi="仿宋" w:eastAsia="仿宋"/>
          <w:sz w:val="32"/>
          <w:szCs w:val="32"/>
          <w:lang w:val="en-US" w:eastAsia="zh-CN"/>
        </w:rPr>
        <w:t>5</w:t>
      </w:r>
      <w:r>
        <w:rPr>
          <w:rFonts w:hint="eastAsia" w:ascii="仿宋" w:hAnsi="仿宋" w:eastAsia="仿宋"/>
          <w:sz w:val="32"/>
          <w:szCs w:val="32"/>
        </w:rPr>
        <w:t>年预算数为382.18万元，比202</w:t>
      </w:r>
      <w:r>
        <w:rPr>
          <w:rFonts w:hint="eastAsia" w:ascii="仿宋" w:hAnsi="仿宋" w:eastAsia="仿宋"/>
          <w:sz w:val="32"/>
          <w:szCs w:val="32"/>
          <w:lang w:val="en-US" w:eastAsia="zh-CN"/>
        </w:rPr>
        <w:t>4</w:t>
      </w:r>
      <w:r>
        <w:rPr>
          <w:rFonts w:hint="eastAsia" w:ascii="仿宋" w:hAnsi="仿宋" w:eastAsia="仿宋"/>
          <w:sz w:val="32"/>
          <w:szCs w:val="32"/>
        </w:rPr>
        <w:t>年执行数增加</w:t>
      </w:r>
      <w:r>
        <w:rPr>
          <w:rFonts w:hint="eastAsia" w:ascii="仿宋" w:hAnsi="仿宋" w:eastAsia="仿宋"/>
          <w:sz w:val="32"/>
          <w:szCs w:val="32"/>
          <w:lang w:val="en-US" w:eastAsia="zh-CN"/>
        </w:rPr>
        <w:t>136.50</w:t>
      </w:r>
      <w:r>
        <w:rPr>
          <w:rFonts w:hint="eastAsia" w:ascii="仿宋" w:hAnsi="仿宋" w:eastAsia="仿宋"/>
          <w:sz w:val="32"/>
          <w:szCs w:val="32"/>
        </w:rPr>
        <w:t>万元，增加</w:t>
      </w:r>
      <w:r>
        <w:rPr>
          <w:rFonts w:hint="eastAsia" w:ascii="仿宋" w:hAnsi="仿宋" w:eastAsia="仿宋"/>
          <w:sz w:val="32"/>
          <w:szCs w:val="32"/>
          <w:lang w:val="en-US" w:eastAsia="zh-CN"/>
        </w:rPr>
        <w:t>55.56</w:t>
      </w:r>
      <w:r>
        <w:rPr>
          <w:rFonts w:hint="eastAsia" w:ascii="仿宋" w:hAnsi="仿宋" w:eastAsia="仿宋"/>
          <w:sz w:val="32"/>
          <w:szCs w:val="32"/>
        </w:rPr>
        <w:t>%，主要是</w:t>
      </w:r>
      <w:r>
        <w:rPr>
          <w:rFonts w:hint="eastAsia" w:ascii="仿宋" w:hAnsi="仿宋" w:eastAsia="仿宋"/>
          <w:sz w:val="32"/>
          <w:szCs w:val="32"/>
          <w:lang w:eastAsia="zh-CN"/>
        </w:rPr>
        <w:t>机构改革，人员增加</w:t>
      </w:r>
      <w:r>
        <w:rPr>
          <w:rFonts w:hint="eastAsia" w:ascii="仿宋" w:hAnsi="仿宋" w:eastAsia="仿宋"/>
          <w:sz w:val="32"/>
          <w:szCs w:val="32"/>
        </w:rPr>
        <w:t>。</w:t>
      </w:r>
    </w:p>
    <w:p>
      <w:pPr>
        <w:ind w:firstLine="480" w:firstLineChars="150"/>
        <w:rPr>
          <w:rFonts w:ascii="仿宋" w:hAnsi="仿宋" w:eastAsia="仿宋"/>
          <w:sz w:val="32"/>
          <w:szCs w:val="32"/>
        </w:rPr>
      </w:pPr>
      <w:r>
        <w:rPr>
          <w:rFonts w:hint="eastAsia" w:ascii="仿宋" w:hAnsi="仿宋" w:eastAsia="仿宋"/>
          <w:sz w:val="32"/>
          <w:szCs w:val="32"/>
        </w:rPr>
        <w:t>2.一般公共服务支出（类）财政事务（款）一般行政管理事务（项）202</w:t>
      </w:r>
      <w:r>
        <w:rPr>
          <w:rFonts w:hint="eastAsia" w:ascii="仿宋" w:hAnsi="仿宋" w:eastAsia="仿宋"/>
          <w:sz w:val="32"/>
          <w:szCs w:val="32"/>
          <w:lang w:val="en-US" w:eastAsia="zh-CN"/>
        </w:rPr>
        <w:t>5</w:t>
      </w:r>
      <w:r>
        <w:rPr>
          <w:rFonts w:hint="eastAsia" w:ascii="仿宋" w:hAnsi="仿宋" w:eastAsia="仿宋"/>
          <w:sz w:val="32"/>
          <w:szCs w:val="32"/>
        </w:rPr>
        <w:t>年预算数为5877.08万元，比202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eastAsia" w:ascii="仿宋" w:hAnsi="仿宋" w:eastAsia="仿宋"/>
          <w:sz w:val="32"/>
          <w:szCs w:val="32"/>
          <w:lang w:val="en-US" w:eastAsia="zh-CN"/>
        </w:rPr>
        <w:t>12717.34</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68.39</w:t>
      </w:r>
      <w:r>
        <w:rPr>
          <w:rFonts w:hint="eastAsia" w:ascii="仿宋" w:hAnsi="仿宋" w:eastAsia="仿宋"/>
          <w:sz w:val="32"/>
          <w:szCs w:val="32"/>
        </w:rPr>
        <w:t>%。主要是</w:t>
      </w:r>
      <w:r>
        <w:rPr>
          <w:rFonts w:hint="eastAsia" w:ascii="仿宋" w:hAnsi="仿宋" w:eastAsia="仿宋"/>
          <w:sz w:val="32"/>
          <w:szCs w:val="32"/>
          <w:lang w:eastAsia="zh-CN"/>
        </w:rPr>
        <w:t>部分</w:t>
      </w:r>
      <w:r>
        <w:rPr>
          <w:rFonts w:hint="eastAsia" w:ascii="仿宋" w:hAnsi="仿宋" w:eastAsia="仿宋"/>
          <w:sz w:val="32"/>
          <w:szCs w:val="32"/>
        </w:rPr>
        <w:t>项目</w:t>
      </w:r>
      <w:r>
        <w:rPr>
          <w:rFonts w:hint="eastAsia" w:ascii="仿宋" w:hAnsi="仿宋" w:eastAsia="仿宋"/>
          <w:sz w:val="32"/>
          <w:szCs w:val="32"/>
          <w:lang w:eastAsia="zh-CN"/>
        </w:rPr>
        <w:t>预算减少</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六、202</w:t>
      </w:r>
      <w:r>
        <w:rPr>
          <w:rFonts w:hint="eastAsia" w:ascii="黑体" w:hAnsi="黑体" w:eastAsia="黑体"/>
          <w:sz w:val="32"/>
          <w:szCs w:val="32"/>
          <w:lang w:val="en-US" w:eastAsia="zh-CN"/>
        </w:rPr>
        <w:t>5</w:t>
      </w:r>
      <w:r>
        <w:rPr>
          <w:rFonts w:hint="eastAsia" w:ascii="黑体" w:hAnsi="黑体" w:eastAsia="黑体"/>
          <w:sz w:val="32"/>
          <w:szCs w:val="32"/>
        </w:rPr>
        <w:t>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rPr>
        <w:t>2024年一般公共预算基本支出382.18万元，其中：</w:t>
      </w:r>
    </w:p>
    <w:p>
      <w:pPr>
        <w:ind w:firstLine="640" w:firstLineChars="200"/>
        <w:rPr>
          <w:rFonts w:ascii="仿宋" w:hAnsi="仿宋" w:eastAsia="仿宋"/>
          <w:sz w:val="32"/>
          <w:szCs w:val="32"/>
        </w:rPr>
      </w:pPr>
      <w:r>
        <w:rPr>
          <w:rFonts w:hint="eastAsia" w:ascii="仿宋" w:hAnsi="仿宋" w:eastAsia="仿宋"/>
          <w:sz w:val="32"/>
          <w:szCs w:val="32"/>
        </w:rPr>
        <w:t>人员经费356.62万元，主要包括：</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hint="eastAsia" w:ascii="仿宋" w:hAnsi="仿宋" w:eastAsia="仿宋"/>
          <w:sz w:val="32"/>
          <w:szCs w:val="32"/>
          <w:lang w:eastAsia="zh-CN"/>
        </w:rPr>
        <w:t>通讯补助</w:t>
      </w:r>
      <w:r>
        <w:rPr>
          <w:rFonts w:hint="eastAsia" w:ascii="仿宋" w:hAnsi="仿宋" w:eastAsia="仿宋"/>
          <w:sz w:val="32"/>
          <w:szCs w:val="32"/>
        </w:rPr>
        <w:t>、</w:t>
      </w:r>
      <w:r>
        <w:rPr>
          <w:rFonts w:hint="eastAsia" w:ascii="仿宋" w:hAnsi="仿宋" w:eastAsia="仿宋"/>
          <w:sz w:val="32"/>
          <w:szCs w:val="32"/>
          <w:lang w:eastAsia="zh-CN"/>
        </w:rPr>
        <w:t>体检费、</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公用经费25.56万元，主要包括：</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、工会经费、</w:t>
      </w:r>
      <w:r>
        <w:rPr>
          <w:rFonts w:hint="eastAsia" w:ascii="仿宋" w:hAnsi="仿宋" w:eastAsia="仿宋"/>
          <w:sz w:val="32"/>
          <w:szCs w:val="32"/>
          <w:lang w:eastAsia="zh-CN"/>
        </w:rPr>
        <w:t>供氧补助资金、</w:t>
      </w:r>
      <w:r>
        <w:rPr>
          <w:rFonts w:ascii="仿宋" w:hAnsi="仿宋" w:eastAsia="仿宋"/>
          <w:sz w:val="32"/>
          <w:szCs w:val="32"/>
        </w:rPr>
        <w:t>其他商品和服务支出）</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七、202</w:t>
      </w:r>
      <w:r>
        <w:rPr>
          <w:rFonts w:hint="eastAsia" w:ascii="黑体" w:hAnsi="黑体" w:eastAsia="黑体"/>
          <w:sz w:val="32"/>
          <w:szCs w:val="32"/>
          <w:lang w:val="en-US" w:eastAsia="zh-CN"/>
        </w:rPr>
        <w:t>5</w:t>
      </w:r>
      <w:r>
        <w:rPr>
          <w:rFonts w:hint="eastAsia" w:ascii="黑体" w:hAnsi="黑体" w:eastAsia="黑体"/>
          <w:sz w:val="32"/>
          <w:szCs w:val="32"/>
        </w:rPr>
        <w:t>年度一般公共预算“三公”经费预算情况说明</w:t>
      </w:r>
    </w:p>
    <w:p>
      <w:pPr>
        <w:ind w:firstLine="640" w:firstLineChars="2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年“三公”经费预算数为10.20万元，其中：公务用车运维费10.20万元，公务接待费0万元。202</w:t>
      </w:r>
      <w:r>
        <w:rPr>
          <w:rFonts w:hint="eastAsia" w:ascii="仿宋" w:hAnsi="仿宋" w:eastAsia="仿宋"/>
          <w:sz w:val="32"/>
          <w:szCs w:val="32"/>
          <w:lang w:val="en-US" w:eastAsia="zh-CN"/>
        </w:rPr>
        <w:t>5</w:t>
      </w:r>
      <w:r>
        <w:rPr>
          <w:rFonts w:hint="eastAsia" w:ascii="仿宋" w:hAnsi="仿宋" w:eastAsia="仿宋"/>
          <w:sz w:val="32"/>
          <w:szCs w:val="32"/>
        </w:rPr>
        <w:t>年“三公”经费预算比202</w:t>
      </w:r>
      <w:r>
        <w:rPr>
          <w:rFonts w:hint="eastAsia" w:ascii="仿宋" w:hAnsi="仿宋" w:eastAsia="仿宋"/>
          <w:sz w:val="32"/>
          <w:szCs w:val="32"/>
          <w:lang w:val="en-US" w:eastAsia="zh-CN"/>
        </w:rPr>
        <w:t>4</w:t>
      </w:r>
      <w:r>
        <w:rPr>
          <w:rFonts w:hint="eastAsia" w:ascii="仿宋" w:hAnsi="仿宋" w:eastAsia="仿宋"/>
          <w:sz w:val="32"/>
          <w:szCs w:val="32"/>
        </w:rPr>
        <w:t>年增加</w:t>
      </w:r>
      <w:r>
        <w:rPr>
          <w:rFonts w:hint="eastAsia" w:ascii="仿宋" w:hAnsi="仿宋" w:eastAsia="仿宋"/>
          <w:sz w:val="32"/>
          <w:szCs w:val="32"/>
          <w:lang w:val="en-US" w:eastAsia="zh-CN"/>
        </w:rPr>
        <w:t>5.2</w:t>
      </w:r>
      <w:r>
        <w:rPr>
          <w:rFonts w:hint="eastAsia" w:ascii="仿宋" w:hAnsi="仿宋" w:eastAsia="仿宋"/>
          <w:sz w:val="32"/>
          <w:szCs w:val="32"/>
        </w:rPr>
        <w:t>万元，增长</w:t>
      </w:r>
      <w:r>
        <w:rPr>
          <w:rFonts w:hint="eastAsia" w:ascii="仿宋" w:hAnsi="仿宋" w:eastAsia="仿宋"/>
          <w:sz w:val="32"/>
          <w:szCs w:val="32"/>
          <w:lang w:val="en-US" w:eastAsia="zh-CN"/>
        </w:rPr>
        <w:t>60</w:t>
      </w:r>
      <w:r>
        <w:rPr>
          <w:rFonts w:hint="eastAsia" w:ascii="仿宋" w:hAnsi="仿宋" w:eastAsia="仿宋"/>
          <w:sz w:val="32"/>
          <w:szCs w:val="32"/>
        </w:rPr>
        <w:t>%，主要原因是</w:t>
      </w:r>
      <w:r>
        <w:rPr>
          <w:rFonts w:hint="eastAsia" w:ascii="仿宋" w:hAnsi="仿宋" w:eastAsia="仿宋"/>
          <w:sz w:val="32"/>
          <w:szCs w:val="32"/>
          <w:lang w:eastAsia="zh-CN"/>
        </w:rPr>
        <w:t>机构改革，业务增加</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因公出国（境）0团组、0人，公务用车购置0辆、保有0量，国内公务接待0批次、0人。</w:t>
      </w:r>
    </w:p>
    <w:p>
      <w:pPr>
        <w:rPr>
          <w:rFonts w:ascii="黑体" w:hAnsi="黑体" w:eastAsia="黑体"/>
          <w:sz w:val="32"/>
          <w:szCs w:val="32"/>
        </w:rPr>
      </w:pPr>
      <w:r>
        <w:rPr>
          <w:rFonts w:hint="eastAsia" w:ascii="黑体" w:hAnsi="黑体" w:eastAsia="黑体"/>
          <w:sz w:val="32"/>
          <w:szCs w:val="32"/>
        </w:rPr>
        <w:t>八、202</w:t>
      </w:r>
      <w:r>
        <w:rPr>
          <w:rFonts w:hint="eastAsia" w:ascii="黑体" w:hAnsi="黑体" w:eastAsia="黑体"/>
          <w:sz w:val="32"/>
          <w:szCs w:val="32"/>
          <w:lang w:val="en-US" w:eastAsia="zh-CN"/>
        </w:rPr>
        <w:t>5</w:t>
      </w:r>
      <w:r>
        <w:rPr>
          <w:rFonts w:hint="eastAsia" w:ascii="黑体" w:hAnsi="黑体" w:eastAsia="黑体"/>
          <w:sz w:val="32"/>
          <w:szCs w:val="32"/>
        </w:rPr>
        <w:t>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年政府性基金预算当年拨款</w:t>
      </w:r>
      <w:r>
        <w:rPr>
          <w:rFonts w:hint="eastAsia" w:ascii="仿宋" w:hAnsi="仿宋" w:eastAsia="仿宋"/>
          <w:sz w:val="32"/>
          <w:szCs w:val="32"/>
          <w:lang w:val="en-US" w:eastAsia="zh-CN"/>
        </w:rPr>
        <w:t>187.66</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eastAsia" w:ascii="仿宋" w:hAnsi="仿宋" w:eastAsia="仿宋"/>
          <w:sz w:val="32"/>
          <w:szCs w:val="32"/>
        </w:rPr>
        <w:t>24.5万元，主要原因：</w:t>
      </w:r>
      <w:r>
        <w:rPr>
          <w:rFonts w:hint="eastAsia" w:ascii="仿宋" w:hAnsi="仿宋" w:eastAsia="仿宋"/>
          <w:sz w:val="32"/>
          <w:szCs w:val="32"/>
          <w:lang w:eastAsia="zh-CN"/>
        </w:rPr>
        <w:t>项目支出减少</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九、其他重要事项的情况说明</w:t>
      </w:r>
    </w:p>
    <w:p>
      <w:pPr>
        <w:ind w:firstLine="320" w:firstLineChars="10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年住房和城乡建设局机关运行经费财政拨款预算</w:t>
      </w:r>
      <w:r>
        <w:rPr>
          <w:rFonts w:hint="eastAsia" w:ascii="仿宋_GB2312" w:eastAsia="仿宋_GB2312" w:cs="仿宋_GB2312" w:hAnsiTheme="minorHAnsi"/>
          <w:kern w:val="0"/>
          <w:sz w:val="32"/>
          <w:szCs w:val="32"/>
          <w:lang w:val="en-US" w:eastAsia="zh-CN"/>
        </w:rPr>
        <w:t>25.56</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年预算增加</w:t>
      </w:r>
      <w:r>
        <w:rPr>
          <w:rFonts w:hint="eastAsia" w:ascii="仿宋" w:hAnsi="仿宋" w:eastAsia="仿宋"/>
          <w:sz w:val="32"/>
          <w:szCs w:val="32"/>
          <w:lang w:val="en-US" w:eastAsia="zh-CN"/>
        </w:rPr>
        <w:t>5.2</w:t>
      </w:r>
      <w:r>
        <w:rPr>
          <w:rFonts w:hint="eastAsia" w:ascii="仿宋" w:hAnsi="仿宋" w:eastAsia="仿宋"/>
          <w:sz w:val="32"/>
          <w:szCs w:val="32"/>
        </w:rPr>
        <w:t>万元，增长</w:t>
      </w:r>
      <w:r>
        <w:rPr>
          <w:rFonts w:hint="eastAsia" w:ascii="仿宋" w:hAnsi="仿宋" w:eastAsia="仿宋"/>
          <w:sz w:val="32"/>
          <w:szCs w:val="32"/>
          <w:lang w:val="en-US" w:eastAsia="zh-CN"/>
        </w:rPr>
        <w:t>60</w:t>
      </w:r>
      <w:r>
        <w:rPr>
          <w:rFonts w:ascii="仿宋" w:hAnsi="仿宋" w:eastAsia="仿宋"/>
          <w:sz w:val="32"/>
          <w:szCs w:val="32"/>
        </w:rPr>
        <w:t>%</w:t>
      </w:r>
      <w:r>
        <w:rPr>
          <w:rFonts w:hint="eastAsia" w:ascii="仿宋" w:hAnsi="仿宋" w:eastAsia="仿宋"/>
          <w:sz w:val="32"/>
          <w:szCs w:val="32"/>
        </w:rPr>
        <w:t>。主要是</w:t>
      </w:r>
      <w:r>
        <w:rPr>
          <w:rFonts w:hint="eastAsia" w:ascii="仿宋" w:hAnsi="仿宋" w:eastAsia="仿宋"/>
          <w:sz w:val="32"/>
          <w:szCs w:val="32"/>
          <w:lang w:eastAsia="zh-CN"/>
        </w:rPr>
        <w:t>机构改革，业务增多</w:t>
      </w:r>
      <w:bookmarkStart w:id="0" w:name="_GoBack"/>
      <w:bookmarkEnd w:id="0"/>
      <w:r>
        <w:rPr>
          <w:rFonts w:hint="eastAsia" w:ascii="仿宋_GB2312" w:eastAsia="仿宋_GB2312" w:cs="仿宋_GB2312" w:hAnsiTheme="minorHAnsi"/>
          <w:kern w:val="0"/>
          <w:sz w:val="32"/>
          <w:szCs w:val="32"/>
        </w:rPr>
        <w:t>。</w:t>
      </w:r>
    </w:p>
    <w:p>
      <w:pPr>
        <w:autoSpaceDE w:val="0"/>
        <w:autoSpaceDN w:val="0"/>
        <w:adjustRightInd w:val="0"/>
        <w:ind w:firstLine="320" w:firstLineChars="1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年住房和城乡建设局政府采购预算总额</w:t>
      </w:r>
      <w:r>
        <w:rPr>
          <w:rFonts w:hint="eastAsia" w:ascii="仿宋" w:hAnsi="仿宋" w:eastAsia="仿宋"/>
          <w:sz w:val="32"/>
          <w:szCs w:val="32"/>
          <w:lang w:val="en-US" w:eastAsia="zh-CN"/>
        </w:rPr>
        <w:t>847.35</w:t>
      </w:r>
      <w:r>
        <w:rPr>
          <w:rFonts w:hint="eastAsia" w:ascii="仿宋" w:hAnsi="仿宋" w:eastAsia="仿宋"/>
          <w:sz w:val="32"/>
          <w:szCs w:val="32"/>
        </w:rPr>
        <w:t>万元，其中：政府采购货物预算</w:t>
      </w:r>
      <w:r>
        <w:rPr>
          <w:rFonts w:hint="eastAsia" w:ascii="仿宋" w:hAnsi="仿宋" w:eastAsia="仿宋"/>
          <w:sz w:val="32"/>
          <w:szCs w:val="32"/>
          <w:lang w:val="en-US" w:eastAsia="zh-CN"/>
        </w:rPr>
        <w:t>847.35</w:t>
      </w:r>
      <w:r>
        <w:rPr>
          <w:rFonts w:hint="eastAsia" w:ascii="仿宋" w:hAnsi="仿宋" w:eastAsia="仿宋"/>
          <w:sz w:val="32"/>
          <w:szCs w:val="32"/>
        </w:rPr>
        <w:t>万元、政府采购工程预算0万元、政府采购服务预算</w:t>
      </w:r>
      <w:r>
        <w:rPr>
          <w:rFonts w:hint="eastAsia" w:ascii="仿宋" w:hAnsi="仿宋" w:eastAsia="仿宋"/>
          <w:sz w:val="32"/>
          <w:szCs w:val="32"/>
          <w:lang w:val="en-US" w:eastAsia="zh-CN"/>
        </w:rPr>
        <w:t>847.35</w:t>
      </w:r>
      <w:r>
        <w:rPr>
          <w:rFonts w:hint="eastAsia" w:ascii="仿宋" w:hAnsi="仿宋" w:eastAsia="仿宋"/>
          <w:sz w:val="32"/>
          <w:szCs w:val="32"/>
        </w:rPr>
        <w:t>万元。</w:t>
      </w:r>
    </w:p>
    <w:p>
      <w:pPr>
        <w:ind w:firstLine="320" w:firstLineChars="1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年年底，本单位共有车辆</w:t>
      </w:r>
      <w:r>
        <w:rPr>
          <w:rFonts w:hint="eastAsia" w:ascii="仿宋" w:hAnsi="仿宋" w:eastAsia="仿宋"/>
          <w:sz w:val="32"/>
          <w:szCs w:val="32"/>
          <w:lang w:val="en-US" w:eastAsia="zh-CN"/>
        </w:rPr>
        <w:t>4</w:t>
      </w:r>
      <w:r>
        <w:rPr>
          <w:rFonts w:hint="eastAsia" w:ascii="仿宋" w:hAnsi="仿宋" w:eastAsia="仿宋"/>
          <w:sz w:val="32"/>
          <w:szCs w:val="32"/>
        </w:rPr>
        <w:t>辆，其中，科级领导干部用车（含在职和离退休部级干部用车）辆0辆、机要通信用车辆0辆、应急保障用车辆0辆、执法执勤用车辆</w:t>
      </w:r>
      <w:r>
        <w:rPr>
          <w:rFonts w:hint="eastAsia" w:ascii="仿宋" w:hAnsi="仿宋" w:eastAsia="仿宋"/>
          <w:sz w:val="32"/>
          <w:szCs w:val="32"/>
          <w:lang w:val="en-US" w:eastAsia="zh-CN"/>
        </w:rPr>
        <w:t>2</w:t>
      </w:r>
      <w:r>
        <w:rPr>
          <w:rFonts w:hint="eastAsia" w:ascii="仿宋" w:hAnsi="仿宋" w:eastAsia="仿宋"/>
          <w:sz w:val="32"/>
          <w:szCs w:val="32"/>
        </w:rPr>
        <w:t>辆、特种专业技术用车辆</w:t>
      </w:r>
      <w:r>
        <w:rPr>
          <w:rFonts w:hint="eastAsia" w:ascii="仿宋" w:hAnsi="仿宋" w:eastAsia="仿宋"/>
          <w:sz w:val="32"/>
          <w:szCs w:val="32"/>
          <w:lang w:val="en-US" w:eastAsia="zh-CN"/>
        </w:rPr>
        <w:t>2</w:t>
      </w:r>
      <w:r>
        <w:rPr>
          <w:rFonts w:hint="eastAsia" w:ascii="仿宋" w:hAnsi="仿宋" w:eastAsia="仿宋"/>
          <w:sz w:val="32"/>
          <w:szCs w:val="32"/>
        </w:rPr>
        <w:t>辆、其他用车辆0辆，其他用车主要是用途的车辆。单位价值</w:t>
      </w:r>
      <w:r>
        <w:rPr>
          <w:rFonts w:ascii="仿宋" w:hAnsi="仿宋" w:eastAsia="仿宋"/>
          <w:sz w:val="32"/>
          <w:szCs w:val="32"/>
        </w:rPr>
        <w:t>50</w:t>
      </w:r>
      <w:r>
        <w:rPr>
          <w:rFonts w:hint="eastAsia" w:ascii="仿宋" w:hAnsi="仿宋" w:eastAsia="仿宋"/>
          <w:sz w:val="32"/>
          <w:szCs w:val="32"/>
        </w:rPr>
        <w:t>万元以上通用设备0台，单位价值</w:t>
      </w:r>
      <w:r>
        <w:rPr>
          <w:rFonts w:ascii="仿宋" w:hAnsi="仿宋" w:eastAsia="仿宋"/>
          <w:sz w:val="32"/>
          <w:szCs w:val="32"/>
        </w:rPr>
        <w:t>100</w:t>
      </w:r>
      <w:r>
        <w:rPr>
          <w:rFonts w:hint="eastAsia" w:ascii="仿宋" w:hAnsi="仿宋" w:eastAsia="仿宋"/>
          <w:sz w:val="32"/>
          <w:szCs w:val="32"/>
        </w:rPr>
        <w:t>万元以上专用设备0台。</w:t>
      </w:r>
    </w:p>
    <w:p>
      <w:pPr>
        <w:spacing w:line="588" w:lineRule="exact"/>
        <w:ind w:firstLine="320" w:firstLineChars="100"/>
        <w:rPr>
          <w:rFonts w:ascii="仿宋" w:hAnsi="仿宋" w:eastAsia="仿宋"/>
          <w:b/>
          <w:sz w:val="32"/>
          <w:szCs w:val="32"/>
        </w:rPr>
      </w:pPr>
      <w:r>
        <w:rPr>
          <w:rFonts w:hint="eastAsia" w:ascii="楷体" w:hAnsi="楷体" w:eastAsia="楷体"/>
          <w:sz w:val="32"/>
          <w:szCs w:val="32"/>
        </w:rPr>
        <w:t>（四）202</w:t>
      </w:r>
      <w:r>
        <w:rPr>
          <w:rFonts w:hint="eastAsia" w:ascii="楷体" w:hAnsi="楷体" w:eastAsia="楷体"/>
          <w:sz w:val="32"/>
          <w:szCs w:val="32"/>
          <w:lang w:val="en-US" w:eastAsia="zh-CN"/>
        </w:rPr>
        <w:t>5</w:t>
      </w:r>
      <w:r>
        <w:rPr>
          <w:rFonts w:hint="eastAsia" w:ascii="楷体" w:hAnsi="楷体" w:eastAsia="楷体"/>
          <w:sz w:val="32"/>
          <w:szCs w:val="32"/>
        </w:rPr>
        <w:t>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年实现财政支出绩效目标管理全覆盖，实行绩效目标管理</w:t>
      </w:r>
      <w:r>
        <w:rPr>
          <w:rFonts w:hint="eastAsia" w:ascii="仿宋" w:hAnsi="仿宋" w:eastAsia="仿宋"/>
          <w:sz w:val="32"/>
          <w:szCs w:val="32"/>
          <w:lang w:val="en-US" w:eastAsia="zh-CN"/>
        </w:rPr>
        <w:t>35</w:t>
      </w:r>
      <w:r>
        <w:rPr>
          <w:rFonts w:hint="eastAsia" w:ascii="仿宋" w:hAnsi="仿宋" w:eastAsia="仿宋"/>
          <w:sz w:val="32"/>
          <w:szCs w:val="32"/>
        </w:rPr>
        <w:t>个，资金6,446.91万元，其中：中央转移支付资金0万元，地方资金6,446.91万元。重点项目（见名词解释）实行绩效目标管理0个，分别是项目名称，资金0万元；占年初项目支出预算总额的0%。</w:t>
      </w:r>
    </w:p>
    <w:p>
      <w:pPr>
        <w:ind w:firstLine="320" w:firstLineChars="100"/>
        <w:rPr>
          <w:rFonts w:ascii="楷体" w:hAnsi="楷体" w:eastAsia="楷体"/>
          <w:sz w:val="32"/>
          <w:szCs w:val="32"/>
        </w:rPr>
      </w:pPr>
      <w:r>
        <w:rPr>
          <w:rFonts w:hint="eastAsia" w:ascii="楷体" w:hAnsi="楷体" w:eastAsia="楷体"/>
          <w:sz w:val="32"/>
          <w:szCs w:val="32"/>
        </w:rPr>
        <w:t>（五）扶贫资金管理使用情况及绩效目标情况说明。</w:t>
      </w:r>
    </w:p>
    <w:p>
      <w:pPr>
        <w:rPr>
          <w:rFonts w:ascii="仿宋" w:hAnsi="仿宋" w:eastAsia="仿宋"/>
          <w:sz w:val="32"/>
          <w:szCs w:val="32"/>
        </w:rPr>
      </w:pPr>
      <w:r>
        <w:rPr>
          <w:rFonts w:hint="eastAsia" w:ascii="仿宋" w:hAnsi="仿宋" w:eastAsia="仿宋"/>
          <w:sz w:val="32"/>
          <w:szCs w:val="32"/>
        </w:rPr>
        <w:t xml:space="preserve"> 嘉黎县住房和城乡建设局无扶贫领域资金。</w:t>
      </w:r>
    </w:p>
    <w:p>
      <w:pPr>
        <w:ind w:firstLine="320" w:firstLineChars="100"/>
        <w:rPr>
          <w:rFonts w:ascii="楷体" w:hAnsi="楷体" w:eastAsia="楷体"/>
          <w:sz w:val="32"/>
          <w:szCs w:val="32"/>
        </w:rPr>
      </w:pPr>
      <w:r>
        <w:rPr>
          <w:rFonts w:hint="eastAsia" w:ascii="楷体" w:hAnsi="楷体" w:eastAsia="楷体"/>
          <w:sz w:val="32"/>
          <w:szCs w:val="32"/>
        </w:rPr>
        <w:t>（六）政府债务情况。</w:t>
      </w:r>
    </w:p>
    <w:p>
      <w:pPr>
        <w:ind w:firstLine="320" w:firstLineChars="100"/>
        <w:rPr>
          <w:rFonts w:ascii="仿宋_GB2312" w:eastAsia="仿宋_GB2312" w:cs="仿宋_GB2312" w:hAnsiTheme="minorHAnsi"/>
          <w:kern w:val="0"/>
          <w:sz w:val="32"/>
          <w:szCs w:val="32"/>
        </w:rPr>
      </w:pPr>
      <w:r>
        <w:rPr>
          <w:rFonts w:hint="eastAsia" w:ascii="仿宋" w:hAnsi="仿宋" w:eastAsia="仿宋"/>
          <w:sz w:val="32"/>
          <w:szCs w:val="32"/>
        </w:rPr>
        <w:t>嘉黎县住房和城乡建设局无政府债务资金。</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swiss"/>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Calibri Light">
    <w:panose1 w:val="020F0302020204030204"/>
    <w:charset w:val="00"/>
    <w:family w:val="decorative"/>
    <w:pitch w:val="default"/>
    <w:sig w:usb0="A00002EF" w:usb1="4000207B" w:usb2="00000000" w:usb3="00000000" w:csb0="2000019F" w:csb1="00000000"/>
  </w:font>
  <w:font w:name="仿宋">
    <w:panose1 w:val="02010609060101010101"/>
    <w:charset w:val="86"/>
    <w:family w:val="decorative"/>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Calibri Light">
    <w:panose1 w:val="020F0302020204030204"/>
    <w:charset w:val="00"/>
    <w:family w:val="roman"/>
    <w:pitch w:val="default"/>
    <w:sig w:usb0="A00002EF" w:usb1="4000207B" w:usb2="00000000" w:usb3="00000000" w:csb0="2000019F" w:csb1="00000000"/>
  </w:font>
  <w:font w:name="仿宋">
    <w:panose1 w:val="02010609060101010101"/>
    <w:charset w:val="86"/>
    <w:family w:val="roman"/>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Calibri Light">
    <w:panose1 w:val="020F0302020204030204"/>
    <w:charset w:val="00"/>
    <w:family w:val="modern"/>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sz w:val="24"/>
        <w:szCs w:val="24"/>
      </w:rPr>
    </w:pP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9</w:t>
    </w:r>
    <w:r>
      <w:rPr>
        <w:rStyle w:val="6"/>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80447036">
    <w:nsid w:val="16AD293C"/>
    <w:multiLevelType w:val="multilevel"/>
    <w:tmpl w:val="16AD293C"/>
    <w:lvl w:ilvl="0" w:tentative="1">
      <w:start w:val="1"/>
      <w:numFmt w:val="japaneseCounting"/>
      <w:lvlText w:val="%1、"/>
      <w:lvlJc w:val="left"/>
      <w:pPr>
        <w:ind w:left="1004" w:hanging="720"/>
      </w:pPr>
      <w:rPr>
        <w:rFonts w:hint="default"/>
      </w:rPr>
    </w:lvl>
    <w:lvl w:ilvl="1" w:tentative="1">
      <w:start w:val="1"/>
      <w:numFmt w:val="lowerLetter"/>
      <w:lvlText w:val="%2)"/>
      <w:lvlJc w:val="left"/>
      <w:pPr>
        <w:ind w:left="1124" w:hanging="420"/>
      </w:pPr>
    </w:lvl>
    <w:lvl w:ilvl="2" w:tentative="1">
      <w:start w:val="1"/>
      <w:numFmt w:val="lowerRoman"/>
      <w:lvlText w:val="%3."/>
      <w:lvlJc w:val="right"/>
      <w:pPr>
        <w:ind w:left="1544" w:hanging="420"/>
      </w:pPr>
    </w:lvl>
    <w:lvl w:ilvl="3" w:tentative="1">
      <w:start w:val="1"/>
      <w:numFmt w:val="decimal"/>
      <w:lvlText w:val="%4."/>
      <w:lvlJc w:val="left"/>
      <w:pPr>
        <w:ind w:left="1964" w:hanging="420"/>
      </w:pPr>
    </w:lvl>
    <w:lvl w:ilvl="4" w:tentative="1">
      <w:start w:val="1"/>
      <w:numFmt w:val="lowerLetter"/>
      <w:lvlText w:val="%5)"/>
      <w:lvlJc w:val="left"/>
      <w:pPr>
        <w:ind w:left="2384" w:hanging="420"/>
      </w:pPr>
    </w:lvl>
    <w:lvl w:ilvl="5" w:tentative="1">
      <w:start w:val="1"/>
      <w:numFmt w:val="lowerRoman"/>
      <w:lvlText w:val="%6."/>
      <w:lvlJc w:val="right"/>
      <w:pPr>
        <w:ind w:left="2804" w:hanging="420"/>
      </w:pPr>
    </w:lvl>
    <w:lvl w:ilvl="6" w:tentative="1">
      <w:start w:val="1"/>
      <w:numFmt w:val="decimal"/>
      <w:lvlText w:val="%7."/>
      <w:lvlJc w:val="left"/>
      <w:pPr>
        <w:ind w:left="3224" w:hanging="420"/>
      </w:pPr>
    </w:lvl>
    <w:lvl w:ilvl="7" w:tentative="1">
      <w:start w:val="1"/>
      <w:numFmt w:val="lowerLetter"/>
      <w:lvlText w:val="%8)"/>
      <w:lvlJc w:val="left"/>
      <w:pPr>
        <w:ind w:left="3644" w:hanging="420"/>
      </w:pPr>
    </w:lvl>
    <w:lvl w:ilvl="8" w:tentative="1">
      <w:start w:val="1"/>
      <w:numFmt w:val="lowerRoman"/>
      <w:lvlText w:val="%9."/>
      <w:lvlJc w:val="right"/>
      <w:pPr>
        <w:ind w:left="4064" w:hanging="420"/>
      </w:pPr>
    </w:lvl>
  </w:abstractNum>
  <w:num w:numId="1">
    <w:abstractNumId w:val="3804470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3004"/>
    <w:rsid w:val="00001D5B"/>
    <w:rsid w:val="000151FD"/>
    <w:rsid w:val="00015A4C"/>
    <w:rsid w:val="0002762E"/>
    <w:rsid w:val="0003517B"/>
    <w:rsid w:val="00041C59"/>
    <w:rsid w:val="00043AA8"/>
    <w:rsid w:val="00086B54"/>
    <w:rsid w:val="000946AB"/>
    <w:rsid w:val="00096F91"/>
    <w:rsid w:val="000A1AFA"/>
    <w:rsid w:val="000A6427"/>
    <w:rsid w:val="000A6C58"/>
    <w:rsid w:val="000B0509"/>
    <w:rsid w:val="000C059D"/>
    <w:rsid w:val="000C6219"/>
    <w:rsid w:val="000D67C2"/>
    <w:rsid w:val="000E0589"/>
    <w:rsid w:val="000F293F"/>
    <w:rsid w:val="000F4CC4"/>
    <w:rsid w:val="000F5718"/>
    <w:rsid w:val="000F6F37"/>
    <w:rsid w:val="00105104"/>
    <w:rsid w:val="00110DD9"/>
    <w:rsid w:val="00112917"/>
    <w:rsid w:val="00112B51"/>
    <w:rsid w:val="0011522B"/>
    <w:rsid w:val="001162B6"/>
    <w:rsid w:val="00120075"/>
    <w:rsid w:val="00122CE1"/>
    <w:rsid w:val="00130285"/>
    <w:rsid w:val="00137481"/>
    <w:rsid w:val="00147E9E"/>
    <w:rsid w:val="00151C9B"/>
    <w:rsid w:val="00155162"/>
    <w:rsid w:val="00160D39"/>
    <w:rsid w:val="00163489"/>
    <w:rsid w:val="001661AE"/>
    <w:rsid w:val="00166215"/>
    <w:rsid w:val="00172589"/>
    <w:rsid w:val="00172FBC"/>
    <w:rsid w:val="00174215"/>
    <w:rsid w:val="00175486"/>
    <w:rsid w:val="001A47B8"/>
    <w:rsid w:val="001A6CD9"/>
    <w:rsid w:val="001A6EEA"/>
    <w:rsid w:val="001B2086"/>
    <w:rsid w:val="001B4F21"/>
    <w:rsid w:val="001C462A"/>
    <w:rsid w:val="001C6D56"/>
    <w:rsid w:val="001C6DC1"/>
    <w:rsid w:val="001E25E8"/>
    <w:rsid w:val="001E413D"/>
    <w:rsid w:val="001E5023"/>
    <w:rsid w:val="001E706D"/>
    <w:rsid w:val="001F2D85"/>
    <w:rsid w:val="001F45DA"/>
    <w:rsid w:val="001F5E8D"/>
    <w:rsid w:val="001F6F79"/>
    <w:rsid w:val="002026C4"/>
    <w:rsid w:val="00206839"/>
    <w:rsid w:val="00211391"/>
    <w:rsid w:val="00213708"/>
    <w:rsid w:val="00226961"/>
    <w:rsid w:val="00230405"/>
    <w:rsid w:val="00243F39"/>
    <w:rsid w:val="00255CD4"/>
    <w:rsid w:val="00266E39"/>
    <w:rsid w:val="00275923"/>
    <w:rsid w:val="00285201"/>
    <w:rsid w:val="002912FA"/>
    <w:rsid w:val="002A23AC"/>
    <w:rsid w:val="002B4B50"/>
    <w:rsid w:val="002C0D66"/>
    <w:rsid w:val="002D58E7"/>
    <w:rsid w:val="002E4184"/>
    <w:rsid w:val="002E550F"/>
    <w:rsid w:val="002F56FF"/>
    <w:rsid w:val="0031342C"/>
    <w:rsid w:val="003139C9"/>
    <w:rsid w:val="00314F12"/>
    <w:rsid w:val="00317BDD"/>
    <w:rsid w:val="00322979"/>
    <w:rsid w:val="00323C72"/>
    <w:rsid w:val="003242D4"/>
    <w:rsid w:val="00324FFC"/>
    <w:rsid w:val="00343F94"/>
    <w:rsid w:val="00360873"/>
    <w:rsid w:val="00360DA6"/>
    <w:rsid w:val="003646E6"/>
    <w:rsid w:val="00367491"/>
    <w:rsid w:val="00371B62"/>
    <w:rsid w:val="00371BC9"/>
    <w:rsid w:val="003733C3"/>
    <w:rsid w:val="00374132"/>
    <w:rsid w:val="003A0F5A"/>
    <w:rsid w:val="003A4455"/>
    <w:rsid w:val="003A4970"/>
    <w:rsid w:val="003B4CAC"/>
    <w:rsid w:val="003C047D"/>
    <w:rsid w:val="003C07B1"/>
    <w:rsid w:val="003C31F6"/>
    <w:rsid w:val="003E21A4"/>
    <w:rsid w:val="003E2D5B"/>
    <w:rsid w:val="00405B8E"/>
    <w:rsid w:val="00420661"/>
    <w:rsid w:val="00421A26"/>
    <w:rsid w:val="0042253D"/>
    <w:rsid w:val="00436EA8"/>
    <w:rsid w:val="00442D8D"/>
    <w:rsid w:val="00451DA4"/>
    <w:rsid w:val="004573CF"/>
    <w:rsid w:val="00462730"/>
    <w:rsid w:val="00463186"/>
    <w:rsid w:val="004773FB"/>
    <w:rsid w:val="00477792"/>
    <w:rsid w:val="00480381"/>
    <w:rsid w:val="00490C1D"/>
    <w:rsid w:val="00494078"/>
    <w:rsid w:val="004970A2"/>
    <w:rsid w:val="004B70D0"/>
    <w:rsid w:val="004C00B1"/>
    <w:rsid w:val="004C433B"/>
    <w:rsid w:val="004C45A4"/>
    <w:rsid w:val="004D0C4F"/>
    <w:rsid w:val="004D363A"/>
    <w:rsid w:val="004D586B"/>
    <w:rsid w:val="004D7111"/>
    <w:rsid w:val="004F02DB"/>
    <w:rsid w:val="004F0973"/>
    <w:rsid w:val="004F7149"/>
    <w:rsid w:val="00504BCF"/>
    <w:rsid w:val="00507BC1"/>
    <w:rsid w:val="00510F60"/>
    <w:rsid w:val="00512DED"/>
    <w:rsid w:val="005227B8"/>
    <w:rsid w:val="00536B9A"/>
    <w:rsid w:val="00537680"/>
    <w:rsid w:val="0054262B"/>
    <w:rsid w:val="00542D4C"/>
    <w:rsid w:val="005472B4"/>
    <w:rsid w:val="00550607"/>
    <w:rsid w:val="00552117"/>
    <w:rsid w:val="005526AE"/>
    <w:rsid w:val="005538C2"/>
    <w:rsid w:val="00556119"/>
    <w:rsid w:val="0056413E"/>
    <w:rsid w:val="00570F81"/>
    <w:rsid w:val="00572485"/>
    <w:rsid w:val="00575636"/>
    <w:rsid w:val="00575675"/>
    <w:rsid w:val="00576C78"/>
    <w:rsid w:val="00577343"/>
    <w:rsid w:val="005822CF"/>
    <w:rsid w:val="00587E83"/>
    <w:rsid w:val="00593341"/>
    <w:rsid w:val="0059715A"/>
    <w:rsid w:val="005A57AF"/>
    <w:rsid w:val="005B264E"/>
    <w:rsid w:val="005B7595"/>
    <w:rsid w:val="005C12AB"/>
    <w:rsid w:val="005C500B"/>
    <w:rsid w:val="005D584E"/>
    <w:rsid w:val="005E29CF"/>
    <w:rsid w:val="005E5236"/>
    <w:rsid w:val="005E58BA"/>
    <w:rsid w:val="005F0038"/>
    <w:rsid w:val="005F2417"/>
    <w:rsid w:val="005F2DA3"/>
    <w:rsid w:val="005F32F5"/>
    <w:rsid w:val="005F64C8"/>
    <w:rsid w:val="005F71EB"/>
    <w:rsid w:val="00611AA9"/>
    <w:rsid w:val="00613FF9"/>
    <w:rsid w:val="00633A21"/>
    <w:rsid w:val="00634BCD"/>
    <w:rsid w:val="00636645"/>
    <w:rsid w:val="00640514"/>
    <w:rsid w:val="0064060E"/>
    <w:rsid w:val="00641243"/>
    <w:rsid w:val="00643004"/>
    <w:rsid w:val="00647920"/>
    <w:rsid w:val="00653B9E"/>
    <w:rsid w:val="00656596"/>
    <w:rsid w:val="00664DF2"/>
    <w:rsid w:val="006677B0"/>
    <w:rsid w:val="0067255B"/>
    <w:rsid w:val="00687F7D"/>
    <w:rsid w:val="006A3631"/>
    <w:rsid w:val="006A497D"/>
    <w:rsid w:val="006B2E21"/>
    <w:rsid w:val="006B41A1"/>
    <w:rsid w:val="006C4305"/>
    <w:rsid w:val="006C4C00"/>
    <w:rsid w:val="006C5EA0"/>
    <w:rsid w:val="006D17BF"/>
    <w:rsid w:val="006D5208"/>
    <w:rsid w:val="006D5592"/>
    <w:rsid w:val="006D6AB2"/>
    <w:rsid w:val="006E3C59"/>
    <w:rsid w:val="006E718B"/>
    <w:rsid w:val="006E770E"/>
    <w:rsid w:val="00711BC5"/>
    <w:rsid w:val="00717C4D"/>
    <w:rsid w:val="00727ADB"/>
    <w:rsid w:val="00735D45"/>
    <w:rsid w:val="00737A27"/>
    <w:rsid w:val="00740AB9"/>
    <w:rsid w:val="00741DB8"/>
    <w:rsid w:val="00746EB4"/>
    <w:rsid w:val="007529D0"/>
    <w:rsid w:val="00753C16"/>
    <w:rsid w:val="0077075E"/>
    <w:rsid w:val="00774B0F"/>
    <w:rsid w:val="007751BF"/>
    <w:rsid w:val="00795DD4"/>
    <w:rsid w:val="007A00E8"/>
    <w:rsid w:val="007A6ED2"/>
    <w:rsid w:val="007B4AD4"/>
    <w:rsid w:val="007B7CCA"/>
    <w:rsid w:val="007C16EB"/>
    <w:rsid w:val="007C2088"/>
    <w:rsid w:val="007C32B9"/>
    <w:rsid w:val="007C5A03"/>
    <w:rsid w:val="007C5F49"/>
    <w:rsid w:val="007D383D"/>
    <w:rsid w:val="007F0BC6"/>
    <w:rsid w:val="007F46BE"/>
    <w:rsid w:val="008001B3"/>
    <w:rsid w:val="0080401E"/>
    <w:rsid w:val="00806758"/>
    <w:rsid w:val="00813A99"/>
    <w:rsid w:val="00813AC0"/>
    <w:rsid w:val="0081777D"/>
    <w:rsid w:val="008248B8"/>
    <w:rsid w:val="008314A5"/>
    <w:rsid w:val="0083524D"/>
    <w:rsid w:val="00835E1D"/>
    <w:rsid w:val="00840C3A"/>
    <w:rsid w:val="008468ED"/>
    <w:rsid w:val="008532AF"/>
    <w:rsid w:val="00854673"/>
    <w:rsid w:val="0085478E"/>
    <w:rsid w:val="0086465E"/>
    <w:rsid w:val="00871235"/>
    <w:rsid w:val="00875CA7"/>
    <w:rsid w:val="00876952"/>
    <w:rsid w:val="008770A2"/>
    <w:rsid w:val="00885072"/>
    <w:rsid w:val="00890723"/>
    <w:rsid w:val="00891441"/>
    <w:rsid w:val="0089630C"/>
    <w:rsid w:val="008A6719"/>
    <w:rsid w:val="008B085A"/>
    <w:rsid w:val="008B3AF4"/>
    <w:rsid w:val="008C0AE1"/>
    <w:rsid w:val="008C1F95"/>
    <w:rsid w:val="008C509F"/>
    <w:rsid w:val="008D39A8"/>
    <w:rsid w:val="008E490F"/>
    <w:rsid w:val="008E497C"/>
    <w:rsid w:val="008F37FF"/>
    <w:rsid w:val="008F5CAA"/>
    <w:rsid w:val="00913A6E"/>
    <w:rsid w:val="009146C3"/>
    <w:rsid w:val="00914EA0"/>
    <w:rsid w:val="009461ED"/>
    <w:rsid w:val="0095324A"/>
    <w:rsid w:val="00953C23"/>
    <w:rsid w:val="00954CEB"/>
    <w:rsid w:val="0096127B"/>
    <w:rsid w:val="00993FFC"/>
    <w:rsid w:val="009A1845"/>
    <w:rsid w:val="009A6ABB"/>
    <w:rsid w:val="009B2113"/>
    <w:rsid w:val="009B5DF1"/>
    <w:rsid w:val="009C5EB6"/>
    <w:rsid w:val="009D0EC6"/>
    <w:rsid w:val="009D220B"/>
    <w:rsid w:val="009D330A"/>
    <w:rsid w:val="009D58A7"/>
    <w:rsid w:val="009F171D"/>
    <w:rsid w:val="009F1DCA"/>
    <w:rsid w:val="00A03532"/>
    <w:rsid w:val="00A04FAE"/>
    <w:rsid w:val="00A15AC2"/>
    <w:rsid w:val="00A207FF"/>
    <w:rsid w:val="00A22513"/>
    <w:rsid w:val="00A239B3"/>
    <w:rsid w:val="00A25D6E"/>
    <w:rsid w:val="00A262A5"/>
    <w:rsid w:val="00A3432E"/>
    <w:rsid w:val="00A34AA2"/>
    <w:rsid w:val="00A42EB8"/>
    <w:rsid w:val="00A45E34"/>
    <w:rsid w:val="00A47878"/>
    <w:rsid w:val="00A50A16"/>
    <w:rsid w:val="00A53E77"/>
    <w:rsid w:val="00A615F1"/>
    <w:rsid w:val="00A81865"/>
    <w:rsid w:val="00A825B5"/>
    <w:rsid w:val="00A82B36"/>
    <w:rsid w:val="00A83879"/>
    <w:rsid w:val="00A86130"/>
    <w:rsid w:val="00A92CD6"/>
    <w:rsid w:val="00AB0808"/>
    <w:rsid w:val="00AB75F2"/>
    <w:rsid w:val="00AC1350"/>
    <w:rsid w:val="00AE35A4"/>
    <w:rsid w:val="00AF3B65"/>
    <w:rsid w:val="00B007C8"/>
    <w:rsid w:val="00B07093"/>
    <w:rsid w:val="00B232EA"/>
    <w:rsid w:val="00B24AA6"/>
    <w:rsid w:val="00B50AE2"/>
    <w:rsid w:val="00B53D62"/>
    <w:rsid w:val="00B5797C"/>
    <w:rsid w:val="00B60721"/>
    <w:rsid w:val="00B6522F"/>
    <w:rsid w:val="00B67A9E"/>
    <w:rsid w:val="00B73E9C"/>
    <w:rsid w:val="00B74CCE"/>
    <w:rsid w:val="00B83139"/>
    <w:rsid w:val="00B84526"/>
    <w:rsid w:val="00B84681"/>
    <w:rsid w:val="00B87F4C"/>
    <w:rsid w:val="00B90510"/>
    <w:rsid w:val="00B92C71"/>
    <w:rsid w:val="00B96D8F"/>
    <w:rsid w:val="00BA3667"/>
    <w:rsid w:val="00BA7814"/>
    <w:rsid w:val="00BC5647"/>
    <w:rsid w:val="00BC66BE"/>
    <w:rsid w:val="00BD2BDC"/>
    <w:rsid w:val="00BD58F0"/>
    <w:rsid w:val="00BE034D"/>
    <w:rsid w:val="00BE6B5B"/>
    <w:rsid w:val="00BE6DF3"/>
    <w:rsid w:val="00BF071B"/>
    <w:rsid w:val="00BF410A"/>
    <w:rsid w:val="00BF7DA7"/>
    <w:rsid w:val="00C03BCD"/>
    <w:rsid w:val="00C104E4"/>
    <w:rsid w:val="00C2239E"/>
    <w:rsid w:val="00C22834"/>
    <w:rsid w:val="00C33982"/>
    <w:rsid w:val="00C51E09"/>
    <w:rsid w:val="00C55C2B"/>
    <w:rsid w:val="00C55E3C"/>
    <w:rsid w:val="00C565B8"/>
    <w:rsid w:val="00C57B85"/>
    <w:rsid w:val="00C63BEE"/>
    <w:rsid w:val="00C67C44"/>
    <w:rsid w:val="00C76A23"/>
    <w:rsid w:val="00C77CA6"/>
    <w:rsid w:val="00C81E89"/>
    <w:rsid w:val="00CA7F99"/>
    <w:rsid w:val="00CC47BA"/>
    <w:rsid w:val="00CC5CE5"/>
    <w:rsid w:val="00CD29AE"/>
    <w:rsid w:val="00CD5580"/>
    <w:rsid w:val="00CE20EB"/>
    <w:rsid w:val="00CE3360"/>
    <w:rsid w:val="00CE472E"/>
    <w:rsid w:val="00CE7C4E"/>
    <w:rsid w:val="00CF4F30"/>
    <w:rsid w:val="00D0154E"/>
    <w:rsid w:val="00D02681"/>
    <w:rsid w:val="00D22EF7"/>
    <w:rsid w:val="00D23758"/>
    <w:rsid w:val="00D249DA"/>
    <w:rsid w:val="00D24CB5"/>
    <w:rsid w:val="00D25868"/>
    <w:rsid w:val="00D3251B"/>
    <w:rsid w:val="00D44A77"/>
    <w:rsid w:val="00D456A9"/>
    <w:rsid w:val="00D53F69"/>
    <w:rsid w:val="00D57443"/>
    <w:rsid w:val="00D632F1"/>
    <w:rsid w:val="00D70F52"/>
    <w:rsid w:val="00D76DB5"/>
    <w:rsid w:val="00D77529"/>
    <w:rsid w:val="00D83F6F"/>
    <w:rsid w:val="00D84FA1"/>
    <w:rsid w:val="00D8569C"/>
    <w:rsid w:val="00D8669F"/>
    <w:rsid w:val="00D879C5"/>
    <w:rsid w:val="00D9331D"/>
    <w:rsid w:val="00DB0231"/>
    <w:rsid w:val="00DC0879"/>
    <w:rsid w:val="00DC66B8"/>
    <w:rsid w:val="00DD6F6E"/>
    <w:rsid w:val="00E03AF9"/>
    <w:rsid w:val="00E04338"/>
    <w:rsid w:val="00E104B4"/>
    <w:rsid w:val="00E115D0"/>
    <w:rsid w:val="00E16F04"/>
    <w:rsid w:val="00E233E9"/>
    <w:rsid w:val="00E31C25"/>
    <w:rsid w:val="00E32EC0"/>
    <w:rsid w:val="00E4103C"/>
    <w:rsid w:val="00E42C47"/>
    <w:rsid w:val="00E64CA4"/>
    <w:rsid w:val="00E6642D"/>
    <w:rsid w:val="00E745C7"/>
    <w:rsid w:val="00E76E09"/>
    <w:rsid w:val="00E82B77"/>
    <w:rsid w:val="00E904F2"/>
    <w:rsid w:val="00E91599"/>
    <w:rsid w:val="00E93213"/>
    <w:rsid w:val="00EA35E2"/>
    <w:rsid w:val="00EB5EFC"/>
    <w:rsid w:val="00EB6F26"/>
    <w:rsid w:val="00EB7129"/>
    <w:rsid w:val="00EC3348"/>
    <w:rsid w:val="00EE0A42"/>
    <w:rsid w:val="00EF0AD6"/>
    <w:rsid w:val="00EF0F56"/>
    <w:rsid w:val="00F00FDB"/>
    <w:rsid w:val="00F06045"/>
    <w:rsid w:val="00F066C6"/>
    <w:rsid w:val="00F07089"/>
    <w:rsid w:val="00F07B31"/>
    <w:rsid w:val="00F21E99"/>
    <w:rsid w:val="00F2611F"/>
    <w:rsid w:val="00F27B94"/>
    <w:rsid w:val="00F42E9E"/>
    <w:rsid w:val="00F434A4"/>
    <w:rsid w:val="00F4454F"/>
    <w:rsid w:val="00F4619D"/>
    <w:rsid w:val="00F50409"/>
    <w:rsid w:val="00F82800"/>
    <w:rsid w:val="00F96845"/>
    <w:rsid w:val="00FA33D7"/>
    <w:rsid w:val="00FA708B"/>
    <w:rsid w:val="00FA7B73"/>
    <w:rsid w:val="00FB2ECC"/>
    <w:rsid w:val="00FD6D3F"/>
    <w:rsid w:val="00FD6F2C"/>
    <w:rsid w:val="00FE1A3B"/>
    <w:rsid w:val="01590644"/>
    <w:rsid w:val="02BE378E"/>
    <w:rsid w:val="04B7134B"/>
    <w:rsid w:val="0B3D3F67"/>
    <w:rsid w:val="0D4E0FE4"/>
    <w:rsid w:val="0D4E4D87"/>
    <w:rsid w:val="0E4272F3"/>
    <w:rsid w:val="17B0596B"/>
    <w:rsid w:val="18546479"/>
    <w:rsid w:val="189B0DEC"/>
    <w:rsid w:val="1AFD0956"/>
    <w:rsid w:val="1E0C0259"/>
    <w:rsid w:val="226F2A0B"/>
    <w:rsid w:val="237C18C4"/>
    <w:rsid w:val="268663C4"/>
    <w:rsid w:val="276B768D"/>
    <w:rsid w:val="27C66D50"/>
    <w:rsid w:val="29974A4D"/>
    <w:rsid w:val="2B316D6D"/>
    <w:rsid w:val="2BE44025"/>
    <w:rsid w:val="2F44049C"/>
    <w:rsid w:val="2F6B035B"/>
    <w:rsid w:val="32B77AC3"/>
    <w:rsid w:val="33691AE5"/>
    <w:rsid w:val="375720DA"/>
    <w:rsid w:val="388075BE"/>
    <w:rsid w:val="38E04160"/>
    <w:rsid w:val="3A977FAE"/>
    <w:rsid w:val="3D022626"/>
    <w:rsid w:val="3E1A5671"/>
    <w:rsid w:val="43875D58"/>
    <w:rsid w:val="45F14ECD"/>
    <w:rsid w:val="4875266D"/>
    <w:rsid w:val="4CDF47AB"/>
    <w:rsid w:val="4F820C6F"/>
    <w:rsid w:val="4FE0099B"/>
    <w:rsid w:val="51B53A19"/>
    <w:rsid w:val="52586AA6"/>
    <w:rsid w:val="53171462"/>
    <w:rsid w:val="53F41D4A"/>
    <w:rsid w:val="54082F69"/>
    <w:rsid w:val="577C7118"/>
    <w:rsid w:val="578C1931"/>
    <w:rsid w:val="57E16E3D"/>
    <w:rsid w:val="5D907F8D"/>
    <w:rsid w:val="5E134B9D"/>
    <w:rsid w:val="5E762809"/>
    <w:rsid w:val="60AC2428"/>
    <w:rsid w:val="63E044E9"/>
    <w:rsid w:val="66325FB7"/>
    <w:rsid w:val="66FC0F03"/>
    <w:rsid w:val="674647FB"/>
    <w:rsid w:val="679A4285"/>
    <w:rsid w:val="691959FB"/>
    <w:rsid w:val="692E211D"/>
    <w:rsid w:val="6B437609"/>
    <w:rsid w:val="6C130BDB"/>
    <w:rsid w:val="723F61FD"/>
    <w:rsid w:val="731F586B"/>
    <w:rsid w:val="732B4F01"/>
    <w:rsid w:val="73E133AB"/>
    <w:rsid w:val="783F74D7"/>
    <w:rsid w:val="79001B14"/>
    <w:rsid w:val="79121A2E"/>
    <w:rsid w:val="7B7D7929"/>
    <w:rsid w:val="7F012A6E"/>
    <w:rsid w:val="7F843F41"/>
  </w:rsids>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rFonts w:ascii="Times New Roman" w:hAnsi="Times New Roman" w:eastAsia="宋体" w:cs="Times New Roman"/>
      <w:sz w:val="18"/>
      <w:szCs w:val="18"/>
    </w:rPr>
  </w:style>
  <w:style w:type="paragraph" w:customStyle="1" w:styleId="1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8E2679-C34B-48CF-9ECB-3ABE09137AF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532</Words>
  <Characters>3033</Characters>
  <Lines>25</Lines>
  <Paragraphs>7</Paragraphs>
  <ScaleCrop>false</ScaleCrop>
  <LinksUpToDate>false</LinksUpToDate>
  <CharactersWithSpaces>3558</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2022-03-11T02:07:00Z</cp:lastPrinted>
  <dcterms:modified xsi:type="dcterms:W3CDTF">2025-01-25T08:57:23Z</dcterms:modified>
  <cp:revision>460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